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560B12" w:rsidRDefault="008F19CB" w:rsidP="00FB3E83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560B12">
        <w:rPr>
          <w:rFonts w:ascii="Book Antiqua" w:hAnsi="Book Antiqua"/>
          <w:noProof/>
        </w:rPr>
        <w:drawing>
          <wp:inline distT="0" distB="0" distL="0" distR="0" wp14:anchorId="3C01F995" wp14:editId="32D099D4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560B12">
        <w:rPr>
          <w:rFonts w:ascii="Book Antiqua" w:hAnsi="Book Antiqua"/>
          <w:b/>
          <w:i/>
          <w:sz w:val="40"/>
          <w:szCs w:val="40"/>
        </w:rPr>
        <w:t xml:space="preserve"> </w:t>
      </w:r>
      <w:r w:rsidR="00FB3E83">
        <w:rPr>
          <w:rFonts w:ascii="Book Antiqua" w:hAnsi="Book Antiqua"/>
          <w:b/>
          <w:i/>
          <w:sz w:val="40"/>
          <w:szCs w:val="40"/>
        </w:rPr>
        <w:t>106-1</w:t>
      </w:r>
      <w:r w:rsidRPr="00D94ECD"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FB3E83" w:rsidP="00FB3E8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="006E2A2C">
              <w:rPr>
                <w:rFonts w:ascii="Book Antiqua" w:hAnsi="Book Antiqua"/>
                <w:sz w:val="24"/>
                <w:szCs w:val="24"/>
              </w:rPr>
              <w:t xml:space="preserve"> ноября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EE64A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EE64AF">
              <w:rPr>
                <w:rFonts w:ascii="Book Antiqua" w:hAnsi="Book Antiqua"/>
                <w:b/>
                <w:sz w:val="24"/>
                <w:szCs w:val="24"/>
              </w:rPr>
              <w:t>57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EE64AF" w:rsidRPr="001A4CB4">
              <w:rPr>
                <w:rFonts w:ascii="Book Antiqua" w:hAnsi="Book Antiqua"/>
                <w:b/>
                <w:sz w:val="24"/>
                <w:szCs w:val="24"/>
              </w:rPr>
              <w:t>Информационное общество на 2016-2018 года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EE64AF" w:rsidRPr="00EE64A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Информационное общество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20.12.2016г. № 71-МА «О внесении изменений в Постановление местной администрации Качинского муниципального округа</w:t>
      </w:r>
      <w:proofErr w:type="gramEnd"/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от 23.11.2016г. № 53-МА «Об утверждении </w:t>
      </w:r>
      <w:proofErr w:type="gramStart"/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Перечня муниципальных программ внутригородского муниципального образования города Севастополя</w:t>
      </w:r>
      <w:proofErr w:type="gramEnd"/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 на 2017 год»»,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2C107D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EE64AF">
        <w:rPr>
          <w:rFonts w:ascii="Book Antiqua" w:hAnsi="Book Antiqua"/>
          <w:color w:val="000000"/>
          <w:sz w:val="24"/>
          <w:szCs w:val="24"/>
          <w:lang w:bidi="ru-RU"/>
        </w:rPr>
        <w:t>57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EE64AF" w:rsidRPr="00EE64AF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6E2A2C">
        <w:rPr>
          <w:rFonts w:ascii="Book Antiqua" w:hAnsi="Book Antiqua"/>
          <w:color w:val="000000"/>
          <w:sz w:val="24"/>
          <w:szCs w:val="24"/>
          <w:lang w:bidi="ru-RU"/>
        </w:rPr>
        <w:t>1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EE64AF" w:rsidRPr="00EE64AF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EE64AF" w:rsidRDefault="00EE64AF" w:rsidP="009E0299">
      <w:pPr>
        <w:jc w:val="center"/>
        <w:rPr>
          <w:rFonts w:ascii="Book Antiqua" w:hAnsi="Book Antiqua"/>
          <w:b/>
        </w:rPr>
      </w:pPr>
    </w:p>
    <w:p w:rsidR="006E2A2C" w:rsidRDefault="006E2A2C" w:rsidP="009E0299">
      <w:pPr>
        <w:jc w:val="center"/>
        <w:rPr>
          <w:rFonts w:ascii="Book Antiqua" w:hAnsi="Book Antiqua"/>
          <w:b/>
        </w:rPr>
      </w:pPr>
    </w:p>
    <w:p w:rsidR="006E2A2C" w:rsidRDefault="006E2A2C" w:rsidP="009E0299">
      <w:pPr>
        <w:jc w:val="center"/>
        <w:rPr>
          <w:rFonts w:ascii="Book Antiqua" w:hAnsi="Book Antiqua"/>
          <w:b/>
        </w:rPr>
      </w:pPr>
    </w:p>
    <w:p w:rsidR="006E2A2C" w:rsidRDefault="006E2A2C" w:rsidP="009E0299">
      <w:pPr>
        <w:jc w:val="center"/>
        <w:rPr>
          <w:rFonts w:ascii="Book Antiqua" w:hAnsi="Book Antiqua"/>
          <w:b/>
        </w:rPr>
      </w:pPr>
    </w:p>
    <w:p w:rsidR="009E0299" w:rsidRPr="00EE64AF" w:rsidRDefault="009E0299" w:rsidP="009E0299">
      <w:pPr>
        <w:jc w:val="center"/>
        <w:rPr>
          <w:rFonts w:ascii="Book Antiqua" w:hAnsi="Book Antiqua"/>
          <w:b/>
        </w:rPr>
      </w:pPr>
      <w:r w:rsidRPr="00EE64AF">
        <w:rPr>
          <w:rFonts w:ascii="Book Antiqua" w:hAnsi="Book Antiqua"/>
          <w:b/>
        </w:rPr>
        <w:lastRenderedPageBreak/>
        <w:t>ПАСПОРТ</w:t>
      </w:r>
    </w:p>
    <w:p w:rsidR="009E0299" w:rsidRPr="00EE64AF" w:rsidRDefault="009E0299" w:rsidP="00EE64AF">
      <w:pPr>
        <w:jc w:val="center"/>
        <w:rPr>
          <w:rFonts w:ascii="Book Antiqua" w:hAnsi="Book Antiqua"/>
          <w:b/>
        </w:rPr>
      </w:pPr>
      <w:r w:rsidRPr="00EE64AF">
        <w:rPr>
          <w:rFonts w:ascii="Book Antiqua" w:hAnsi="Book Antiqua"/>
          <w:b/>
        </w:rPr>
        <w:t>муниципальной программы «</w:t>
      </w:r>
      <w:r w:rsidR="00EE64AF" w:rsidRPr="00EE64AF">
        <w:rPr>
          <w:rFonts w:ascii="Book Antiqua" w:hAnsi="Book Antiqua"/>
          <w:b/>
        </w:rPr>
        <w:t>Информационное общество на 2016-2018 года</w:t>
      </w:r>
      <w:r w:rsidRPr="00EE64AF">
        <w:rPr>
          <w:rFonts w:ascii="Book Antiqua" w:hAnsi="Book Antiqua"/>
          <w:b/>
        </w:rPr>
        <w:t>»</w:t>
      </w:r>
    </w:p>
    <w:p w:rsidR="00EE64AF" w:rsidRPr="003011E1" w:rsidRDefault="00EE64AF" w:rsidP="00EE64A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EE64AF" w:rsidRPr="002C107D" w:rsidTr="00E41A19">
        <w:trPr>
          <w:cantSplit/>
          <w:trHeight w:val="400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EE64AF" w:rsidRPr="002C107D" w:rsidRDefault="00EE64AF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Своевременное, полное и достоверное информирование населения о деятельности </w:t>
            </w:r>
            <w:proofErr w:type="gramStart"/>
            <w:r w:rsidRPr="002C107D">
              <w:rPr>
                <w:rFonts w:ascii="Book Antiqua" w:hAnsi="Book Antiqua"/>
              </w:rPr>
              <w:t>органов местного самоуправления внутригородского муниципального образования  города Севастополя</w:t>
            </w:r>
            <w:proofErr w:type="gramEnd"/>
            <w:r w:rsidRPr="002C107D">
              <w:rPr>
                <w:rFonts w:ascii="Book Antiqua" w:hAnsi="Book Antiqua"/>
              </w:rPr>
              <w:t xml:space="preserve"> Качинский муниципальный округ, взаимодействие населения с органами местного самоуправления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– Обеспечение  требований  законодательства 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Установление обратной связи с населением округа, изучение общественного мнения о деятельности органов местного самоуправления;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Реализация принципов гласности и открытости в деятельности органов местного самоуправления Качинского муниципального округа.</w:t>
            </w:r>
          </w:p>
        </w:tc>
      </w:tr>
      <w:tr w:rsidR="00EE64AF" w:rsidRPr="002C107D" w:rsidTr="00E41A19">
        <w:trPr>
          <w:cantSplit/>
          <w:trHeight w:val="400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EE64AF" w:rsidRPr="002C107D" w:rsidTr="00E41A19">
        <w:trPr>
          <w:cantSplit/>
          <w:trHeight w:val="1715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2C107D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2C107D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2016 год –  340,0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2017 год –  </w:t>
            </w:r>
            <w:r w:rsidR="006E2A2C">
              <w:rPr>
                <w:rFonts w:ascii="Book Antiqua" w:hAnsi="Book Antiqua"/>
              </w:rPr>
              <w:t>330</w:t>
            </w:r>
            <w:r w:rsidRPr="002C107D">
              <w:rPr>
                <w:rFonts w:ascii="Book Antiqua" w:hAnsi="Book Antiqua"/>
              </w:rPr>
              <w:t xml:space="preserve">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2018 год –  200,0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</w:tc>
      </w:tr>
      <w:tr w:rsidR="00EE64AF" w:rsidRPr="002C107D" w:rsidTr="00E41A19">
        <w:trPr>
          <w:cantSplit/>
          <w:trHeight w:val="709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Привлечение общественного интереса к деятельности органов местного самоуправления округа и укрепление атмосферы доверия к ним граждан;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Принятие управленческих решений с учетом общественного мнения жителей округа;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Обеспечение бесперебойного функционирования и своевременной актуализации официального сайта Качинского муниципального округа.</w:t>
            </w:r>
          </w:p>
        </w:tc>
      </w:tr>
    </w:tbl>
    <w:p w:rsidR="00EE64AF" w:rsidRPr="003011E1" w:rsidRDefault="00EE64AF" w:rsidP="00EE64A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EE64AF" w:rsidRPr="003011E1" w:rsidRDefault="00EE64AF" w:rsidP="00EE64A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Приложение 2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52C04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  <w:proofErr w:type="gramEnd"/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B3E83" w:rsidRPr="0076029C" w:rsidTr="0012563C">
        <w:trPr>
          <w:trHeight w:val="966"/>
        </w:trPr>
        <w:tc>
          <w:tcPr>
            <w:tcW w:w="5637" w:type="dxa"/>
            <w:vAlign w:val="center"/>
            <w:hideMark/>
          </w:tcPr>
          <w:p w:rsidR="00FB3E83" w:rsidRPr="0076029C" w:rsidRDefault="00FB3E83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FB3E83" w:rsidRPr="0076029C" w:rsidRDefault="00FB3E83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FB3E83" w:rsidRPr="0076029C" w:rsidRDefault="00FB3E83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FB3E83" w:rsidRPr="0076029C" w:rsidRDefault="00FB3E83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FB3E83" w:rsidRPr="0076029C" w:rsidRDefault="00FB3E83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E64AF" w:rsidRDefault="00EE64AF" w:rsidP="00E75AB4">
      <w:pPr>
        <w:ind w:left="5670"/>
        <w:rPr>
          <w:rFonts w:ascii="Book Antiqua" w:hAnsi="Book Antiqua" w:cs="Book Antiqua"/>
          <w:caps/>
          <w:sz w:val="20"/>
          <w:szCs w:val="20"/>
        </w:rPr>
        <w:sectPr w:rsidR="00EE64AF" w:rsidSect="00E75AB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75AB4" w:rsidRPr="002F02DC" w:rsidRDefault="00E75AB4" w:rsidP="00EE64AF">
      <w:pPr>
        <w:ind w:left="7938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FB3E83">
        <w:rPr>
          <w:rFonts w:ascii="Book Antiqua" w:hAnsi="Book Antiqua" w:cs="Book Antiqua"/>
          <w:sz w:val="20"/>
          <w:szCs w:val="20"/>
        </w:rPr>
        <w:t>22</w:t>
      </w:r>
      <w:r>
        <w:rPr>
          <w:rFonts w:ascii="Book Antiqua" w:hAnsi="Book Antiqua" w:cs="Book Antiqua"/>
          <w:sz w:val="20"/>
          <w:szCs w:val="20"/>
        </w:rPr>
        <w:t>.</w:t>
      </w:r>
      <w:r w:rsidR="006E2A2C">
        <w:rPr>
          <w:rFonts w:ascii="Book Antiqua" w:hAnsi="Book Antiqua" w:cs="Book Antiqua"/>
          <w:sz w:val="20"/>
          <w:szCs w:val="20"/>
        </w:rPr>
        <w:t>11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B3E83">
        <w:rPr>
          <w:rFonts w:ascii="Book Antiqua" w:hAnsi="Book Antiqua" w:cs="Book Antiqua"/>
          <w:sz w:val="20"/>
          <w:szCs w:val="20"/>
        </w:rPr>
        <w:t>106-1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EE64AF" w:rsidRPr="003011E1" w:rsidRDefault="00EE64AF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Приложение 2</w:t>
      </w:r>
    </w:p>
    <w:p w:rsidR="00EE64AF" w:rsidRPr="003011E1" w:rsidRDefault="00EE64AF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>
        <w:rPr>
          <w:rFonts w:ascii="Book Antiqua" w:hAnsi="Book Antiqua" w:cs="Arial"/>
        </w:rPr>
        <w:t>муниципальной программе «</w:t>
      </w:r>
      <w:r w:rsidRPr="003011E1">
        <w:rPr>
          <w:rFonts w:ascii="Book Antiqua" w:hAnsi="Book Antiqua" w:cs="Arial"/>
        </w:rPr>
        <w:t>Информационное общество на 2016-2018 года</w:t>
      </w:r>
      <w:r>
        <w:rPr>
          <w:rFonts w:ascii="Book Antiqua" w:hAnsi="Book Antiqua" w:cs="Arial"/>
        </w:rPr>
        <w:t>»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color w:val="292929"/>
          <w:sz w:val="24"/>
          <w:szCs w:val="24"/>
        </w:rPr>
      </w:pP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 xml:space="preserve">Перечень основных мероприятий и ресурсное обеспечение муниципальной программы внутригородского муниципального округа города Севастополя Качинский муниципальный округ «Информационное общество 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на 2016-2018 годы</w:t>
      </w:r>
      <w:r>
        <w:rPr>
          <w:rFonts w:ascii="Book Antiqua" w:hAnsi="Book Antiqua"/>
          <w:b/>
          <w:bCs/>
          <w:color w:val="000000"/>
          <w:sz w:val="24"/>
          <w:szCs w:val="24"/>
        </w:rPr>
        <w:t>»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134"/>
        <w:gridCol w:w="2127"/>
        <w:gridCol w:w="850"/>
        <w:gridCol w:w="992"/>
        <w:gridCol w:w="993"/>
        <w:gridCol w:w="992"/>
      </w:tblGrid>
      <w:tr w:rsidR="00EE64AF" w:rsidRPr="003011E1" w:rsidTr="002C107D">
        <w:trPr>
          <w:cantSplit/>
          <w:trHeight w:val="579"/>
          <w:tblHeader/>
        </w:trPr>
        <w:tc>
          <w:tcPr>
            <w:tcW w:w="5495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Наименование   </w:t>
            </w:r>
            <w:r w:rsidRPr="003011E1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3011E1">
              <w:rPr>
                <w:rFonts w:ascii="Book Antiqua" w:hAnsi="Book Antiqua"/>
                <w:b/>
              </w:rPr>
              <w:t>Ответствен-</w:t>
            </w:r>
            <w:proofErr w:type="spellStart"/>
            <w:r w:rsidRPr="003011E1"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 w:rsidRPr="003011E1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Сроки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Источники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финанс</w:t>
            </w:r>
            <w:proofErr w:type="gramStart"/>
            <w:r w:rsidRPr="003011E1">
              <w:rPr>
                <w:rFonts w:ascii="Book Antiqua" w:hAnsi="Book Antiqua"/>
                <w:b/>
              </w:rPr>
              <w:t>и</w:t>
            </w:r>
            <w:proofErr w:type="spellEnd"/>
            <w:r w:rsidRPr="003011E1">
              <w:rPr>
                <w:rFonts w:ascii="Book Antiqua" w:hAnsi="Book Antiqua"/>
                <w:b/>
              </w:rPr>
              <w:t>-</w:t>
            </w:r>
            <w:proofErr w:type="gramEnd"/>
            <w:r w:rsidRPr="003011E1">
              <w:rPr>
                <w:rFonts w:ascii="Book Antiqua" w:hAnsi="Book Antiqua"/>
                <w:b/>
              </w:rPr>
              <w:t>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рования</w:t>
            </w:r>
            <w:proofErr w:type="spellEnd"/>
          </w:p>
        </w:tc>
        <w:tc>
          <w:tcPr>
            <w:tcW w:w="3827" w:type="dxa"/>
            <w:gridSpan w:val="4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Объем финансирования,    </w:t>
            </w:r>
            <w:r w:rsidRPr="003011E1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EE64AF" w:rsidRPr="003011E1" w:rsidTr="002C107D">
        <w:trPr>
          <w:cantSplit/>
          <w:trHeight w:val="603"/>
          <w:tblHeader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</w:t>
            </w:r>
          </w:p>
        </w:tc>
        <w:tc>
          <w:tcPr>
            <w:tcW w:w="993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2018</w:t>
            </w:r>
          </w:p>
        </w:tc>
      </w:tr>
      <w:tr w:rsidR="00EE64AF" w:rsidRPr="003011E1" w:rsidTr="002C107D">
        <w:trPr>
          <w:cantSplit/>
          <w:trHeight w:val="346"/>
          <w:tblHeader/>
        </w:trPr>
        <w:tc>
          <w:tcPr>
            <w:tcW w:w="5495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8</w:t>
            </w:r>
          </w:p>
        </w:tc>
      </w:tr>
      <w:tr w:rsidR="00EE64AF" w:rsidRPr="003011E1" w:rsidTr="002C107D">
        <w:trPr>
          <w:cantSplit/>
          <w:trHeight w:val="479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на сайте, на информационных стендах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EE64AF" w:rsidRPr="003011E1" w:rsidRDefault="00084096" w:rsidP="00E41A1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="00EE64AF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752"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EE64AF" w:rsidRPr="003011E1" w:rsidRDefault="00084096" w:rsidP="00E41A1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="00EE64AF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607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40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Доведение до сведения населения оперативной и достоверной информации о важнейших общественно-политических, социально-культурных событиях, о </w:t>
            </w:r>
            <w:r w:rsidRPr="003011E1">
              <w:rPr>
                <w:rFonts w:ascii="Book Antiqua" w:hAnsi="Book Antiqua"/>
              </w:rPr>
              <w:lastRenderedPageBreak/>
              <w:t>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интерес, приобретение оборудования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A35D8D" w:rsidP="00A35D8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392</w:t>
            </w:r>
            <w:r w:rsidR="00EE64AF"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A35D8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</w:t>
            </w:r>
            <w:r w:rsidR="00A35D8D">
              <w:rPr>
                <w:rFonts w:ascii="Book Antiqua" w:hAnsi="Book Antiqua"/>
              </w:rPr>
              <w:t>2</w:t>
            </w:r>
            <w:r w:rsidRPr="003011E1">
              <w:rPr>
                <w:rFonts w:ascii="Book Antiqua" w:hAnsi="Book Antiqua"/>
              </w:rPr>
              <w:t>,</w:t>
            </w:r>
            <w:r w:rsidR="00A35D8D">
              <w:rPr>
                <w:rFonts w:ascii="Book Antiqua" w:hAnsi="Book Antiqua"/>
              </w:rPr>
              <w:t>3</w:t>
            </w:r>
          </w:p>
        </w:tc>
        <w:tc>
          <w:tcPr>
            <w:tcW w:w="993" w:type="dxa"/>
            <w:vAlign w:val="center"/>
          </w:tcPr>
          <w:p w:rsidR="00EE64AF" w:rsidRPr="003011E1" w:rsidRDefault="00084096" w:rsidP="00E41A1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="00EE64AF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A35D8D" w:rsidRPr="003011E1" w:rsidTr="002C107D">
        <w:trPr>
          <w:cantSplit/>
          <w:trHeight w:val="706"/>
        </w:trPr>
        <w:tc>
          <w:tcPr>
            <w:tcW w:w="5495" w:type="dxa"/>
            <w:vMerge/>
            <w:vAlign w:val="center"/>
            <w:hideMark/>
          </w:tcPr>
          <w:p w:rsidR="00A35D8D" w:rsidRPr="003011E1" w:rsidRDefault="00A35D8D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A35D8D" w:rsidRPr="003011E1" w:rsidRDefault="00A35D8D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A35D8D" w:rsidRPr="003011E1" w:rsidRDefault="00A35D8D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392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  <w:vAlign w:val="center"/>
          </w:tcPr>
          <w:p w:rsidR="00A35D8D" w:rsidRPr="003011E1" w:rsidRDefault="00A35D8D" w:rsidP="00B3605A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2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3" w:type="dxa"/>
            <w:vAlign w:val="center"/>
          </w:tcPr>
          <w:p w:rsidR="00A35D8D" w:rsidRPr="003011E1" w:rsidRDefault="00084096" w:rsidP="0008409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  <w:r w:rsidR="00A35D8D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1067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8C5261">
        <w:trPr>
          <w:cantSplit/>
          <w:trHeight w:val="585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услуги.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A35D8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 w:rsidR="00A35D8D"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 w:rsidR="00A35D8D">
              <w:rPr>
                <w:rFonts w:ascii="Book Antiqua" w:hAnsi="Book Antiqua"/>
              </w:rPr>
              <w:t>5</w:t>
            </w:r>
          </w:p>
        </w:tc>
        <w:tc>
          <w:tcPr>
            <w:tcW w:w="992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83"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2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84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425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EE64AF" w:rsidRPr="003011E1" w:rsidRDefault="00084096" w:rsidP="0008409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33</w:t>
            </w:r>
            <w:r w:rsidR="00EE64AF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EE64AF" w:rsidRPr="003011E1" w:rsidTr="002C107D">
        <w:trPr>
          <w:cantSplit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EE64AF" w:rsidRPr="003011E1" w:rsidRDefault="00084096" w:rsidP="00E41A1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33</w:t>
            </w:r>
            <w:r w:rsidR="00EE64AF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EE64AF" w:rsidRPr="003011E1" w:rsidTr="002C107D">
        <w:trPr>
          <w:cantSplit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</w:tr>
    </w:tbl>
    <w:p w:rsidR="00EE64AF" w:rsidRPr="003011E1" w:rsidRDefault="00EE64AF" w:rsidP="00EE64AF">
      <w:pPr>
        <w:shd w:val="clear" w:color="auto" w:fill="FFFFFF"/>
        <w:spacing w:after="150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  <w:sectPr w:rsidR="003F0BA5" w:rsidSect="00EE64A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F0BA5" w:rsidRPr="00C16B26" w:rsidRDefault="003F0BA5" w:rsidP="003F0BA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FB3E83">
        <w:rPr>
          <w:rFonts w:ascii="Book Antiqua" w:hAnsi="Book Antiqua"/>
          <w:sz w:val="28"/>
          <w:szCs w:val="28"/>
        </w:rPr>
        <w:t>22</w:t>
      </w:r>
      <w:r>
        <w:rPr>
          <w:rFonts w:ascii="Book Antiqua" w:hAnsi="Book Antiqua"/>
          <w:sz w:val="28"/>
          <w:szCs w:val="28"/>
        </w:rPr>
        <w:t>.</w:t>
      </w:r>
      <w:r w:rsidR="00560B12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FB3E83">
        <w:rPr>
          <w:rFonts w:ascii="Book Antiqua" w:hAnsi="Book Antiqua"/>
          <w:sz w:val="28"/>
          <w:szCs w:val="28"/>
        </w:rPr>
        <w:t>106-1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3F0BA5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57-МА «Об утверждении  муниципальной программы «Информационное общество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3F0BA5" w:rsidRPr="00C16B26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Pr="00C16B26" w:rsidRDefault="003F0BA5" w:rsidP="003F0BA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560B12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560B12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</w:t>
            </w: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чинская</w:t>
            </w:r>
            <w:proofErr w:type="spellEnd"/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/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F0BA5" w:rsidRDefault="003F0BA5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sectPr w:rsidR="003F0BA5" w:rsidSect="003F0BA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CC" w:rsidRDefault="00702DCC">
      <w:r>
        <w:separator/>
      </w:r>
    </w:p>
  </w:endnote>
  <w:endnote w:type="continuationSeparator" w:id="0">
    <w:p w:rsidR="00702DCC" w:rsidRDefault="0070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CC" w:rsidRDefault="00702DCC">
      <w:r>
        <w:separator/>
      </w:r>
    </w:p>
  </w:footnote>
  <w:footnote w:type="continuationSeparator" w:id="0">
    <w:p w:rsidR="00702DCC" w:rsidRDefault="0070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64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096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76F41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5F90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15920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2A03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107D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2D93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0BA5"/>
    <w:rsid w:val="003F1000"/>
    <w:rsid w:val="003F278F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B12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3520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4AAC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2A2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2DCC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C5261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657F"/>
    <w:rsid w:val="00A27BFC"/>
    <w:rsid w:val="00A30EB6"/>
    <w:rsid w:val="00A312FA"/>
    <w:rsid w:val="00A31A9A"/>
    <w:rsid w:val="00A35A72"/>
    <w:rsid w:val="00A35D8D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044E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4A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093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64AF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6E7B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3E8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3F0BA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0BA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3F0BA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0BA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7D3B-ED6C-429A-B308-BE00B45F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2017-12-19T07:27:00Z</cp:lastPrinted>
  <dcterms:created xsi:type="dcterms:W3CDTF">2017-02-10T07:05:00Z</dcterms:created>
  <dcterms:modified xsi:type="dcterms:W3CDTF">2017-12-19T07:28:00Z</dcterms:modified>
</cp:coreProperties>
</file>