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A72519">
        <w:rPr>
          <w:rFonts w:ascii="Book Antiqua" w:hAnsi="Book Antiqua"/>
          <w:b/>
          <w:i/>
          <w:sz w:val="40"/>
          <w:szCs w:val="40"/>
        </w:rPr>
        <w:t>14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A72519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  <w:r w:rsidR="00797C12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февраля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836AD3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 Постановление местной администрации Качинского муниципального округа от 24.11.2016 № 54-МА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Pr="000D2568">
              <w:rPr>
                <w:rFonts w:ascii="Book Antiqua" w:hAnsi="Book Antiqua"/>
                <w:b/>
                <w:sz w:val="24"/>
                <w:szCs w:val="24"/>
              </w:rPr>
              <w:t>Развитие культуры внутригородского муниципального образования города Севастополя Качинский муниципальный округ на 201</w:t>
            </w:r>
            <w:r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Pr="000D2568">
              <w:rPr>
                <w:rFonts w:ascii="Book Antiqua" w:hAnsi="Book Antiqua"/>
                <w:b/>
                <w:sz w:val="24"/>
                <w:szCs w:val="24"/>
              </w:rPr>
              <w:t>-201</w:t>
            </w:r>
            <w:r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Pr="000D2568">
              <w:rPr>
                <w:rFonts w:ascii="Book Antiqua" w:hAnsi="Book Antiqua"/>
                <w:b/>
                <w:sz w:val="24"/>
                <w:szCs w:val="24"/>
              </w:rPr>
              <w:t xml:space="preserve"> год</w:t>
            </w:r>
            <w:r>
              <w:rPr>
                <w:rFonts w:ascii="Book Antiqua" w:hAnsi="Book Antiqua"/>
                <w:b/>
                <w:sz w:val="24"/>
                <w:szCs w:val="24"/>
              </w:rPr>
              <w:t>ы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580649" w:rsidRDefault="00580649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8F19CB" w:rsidRPr="00DD6DC6" w:rsidRDefault="00082778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b/>
          <w:bCs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>С цел</w:t>
      </w:r>
      <w:r w:rsidR="00A0277F">
        <w:rPr>
          <w:rFonts w:ascii="Book Antiqua" w:hAnsi="Book Antiqua"/>
          <w:color w:val="000000"/>
          <w:lang w:bidi="ru-RU"/>
        </w:rPr>
        <w:t>ь</w:t>
      </w:r>
      <w:r>
        <w:rPr>
          <w:rFonts w:ascii="Book Antiqua" w:hAnsi="Book Antiqua"/>
          <w:color w:val="000000"/>
          <w:lang w:bidi="ru-RU"/>
        </w:rPr>
        <w:t>ю уточнения объёма финансирования</w:t>
      </w:r>
      <w:r w:rsidR="00A72519">
        <w:rPr>
          <w:rFonts w:ascii="Book Antiqua" w:hAnsi="Book Antiqua"/>
          <w:color w:val="000000"/>
          <w:lang w:bidi="ru-RU"/>
        </w:rPr>
        <w:t xml:space="preserve"> на 2017 год</w:t>
      </w:r>
      <w:r>
        <w:rPr>
          <w:rFonts w:ascii="Book Antiqua" w:hAnsi="Book Antiqua"/>
          <w:color w:val="000000"/>
          <w:lang w:bidi="ru-RU"/>
        </w:rPr>
        <w:t xml:space="preserve"> мероприятий </w:t>
      </w:r>
      <w:r w:rsidRPr="00082778">
        <w:rPr>
          <w:rFonts w:ascii="Book Antiqua" w:hAnsi="Book Antiqua"/>
          <w:color w:val="000000"/>
          <w:lang w:bidi="ru-RU"/>
        </w:rPr>
        <w:t xml:space="preserve">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годы», в </w:t>
      </w:r>
      <w:r w:rsidR="00B05B9C" w:rsidRPr="00B05B9C">
        <w:rPr>
          <w:rFonts w:ascii="Book Antiqua" w:hAnsi="Book Antiqua"/>
          <w:color w:val="000000"/>
          <w:lang w:bidi="ru-RU"/>
        </w:rPr>
        <w:t xml:space="preserve">соответствии </w:t>
      </w:r>
      <w:r w:rsidRPr="00082778">
        <w:rPr>
          <w:rFonts w:ascii="Book Antiqua" w:hAnsi="Book Antiqua"/>
          <w:color w:val="000000"/>
          <w:lang w:bidi="ru-RU"/>
        </w:rPr>
        <w:t xml:space="preserve">с решением Совета Качинского муниципального округа </w:t>
      </w:r>
      <w:r w:rsidR="00A72519">
        <w:rPr>
          <w:rFonts w:ascii="Book Antiqua" w:hAnsi="Book Antiqua"/>
          <w:color w:val="000000"/>
          <w:lang w:bidi="ru-RU"/>
        </w:rPr>
        <w:t xml:space="preserve">от 29.12.2016 № 5/30 </w:t>
      </w:r>
      <w:r w:rsidRPr="00082778">
        <w:rPr>
          <w:rFonts w:ascii="Book Antiqua" w:hAnsi="Book Antiqua"/>
          <w:color w:val="000000"/>
          <w:lang w:bidi="ru-RU"/>
        </w:rPr>
        <w:t>«О бюджете внутригородского муниципального образования города Севастополя Качинский муниципальный округ</w:t>
      </w:r>
      <w:r w:rsidR="00A72519">
        <w:rPr>
          <w:rFonts w:ascii="Book Antiqua" w:hAnsi="Book Antiqua"/>
          <w:color w:val="000000"/>
          <w:lang w:bidi="ru-RU"/>
        </w:rPr>
        <w:t xml:space="preserve"> на 2017г.</w:t>
      </w:r>
      <w:r w:rsidRPr="00082778">
        <w:rPr>
          <w:rFonts w:ascii="Book Antiqua" w:hAnsi="Book Antiqua"/>
          <w:color w:val="000000"/>
          <w:lang w:bidi="ru-RU"/>
        </w:rPr>
        <w:t xml:space="preserve">», </w:t>
      </w:r>
      <w:r w:rsidR="00CB77B3" w:rsidRPr="00CB77B3">
        <w:rPr>
          <w:rFonts w:ascii="Book Antiqua" w:hAnsi="Book Antiqua"/>
          <w:color w:val="000000"/>
          <w:lang w:bidi="ru-RU"/>
        </w:rPr>
        <w:t>Постановление</w:t>
      </w:r>
      <w:r w:rsidR="00CB77B3">
        <w:rPr>
          <w:rFonts w:ascii="Book Antiqua" w:hAnsi="Book Antiqua"/>
          <w:color w:val="000000"/>
          <w:lang w:bidi="ru-RU"/>
        </w:rPr>
        <w:t>м</w:t>
      </w:r>
      <w:r w:rsidR="00CB77B3" w:rsidRPr="00CB77B3">
        <w:rPr>
          <w:rFonts w:ascii="Book Antiqua" w:hAnsi="Book Antiqua"/>
          <w:color w:val="000000"/>
          <w:lang w:bidi="ru-RU"/>
        </w:rPr>
        <w:t xml:space="preserve"> местной администрации Качинского</w:t>
      </w:r>
      <w:r w:rsidR="00CB77B3">
        <w:rPr>
          <w:rFonts w:ascii="Book Antiqua" w:hAnsi="Book Antiqua"/>
          <w:color w:val="000000"/>
          <w:lang w:bidi="ru-RU"/>
        </w:rPr>
        <w:t xml:space="preserve"> </w:t>
      </w:r>
      <w:r w:rsidR="00CB77B3" w:rsidRPr="00CB77B3">
        <w:rPr>
          <w:rFonts w:ascii="Book Antiqua" w:hAnsi="Book Antiqua"/>
          <w:color w:val="000000"/>
          <w:lang w:bidi="ru-RU"/>
        </w:rPr>
        <w:t xml:space="preserve">муниципального округа от </w:t>
      </w:r>
      <w:r w:rsidR="00CB77B3">
        <w:rPr>
          <w:rFonts w:ascii="Book Antiqua" w:hAnsi="Book Antiqua"/>
          <w:color w:val="000000"/>
          <w:lang w:bidi="ru-RU"/>
        </w:rPr>
        <w:t>20</w:t>
      </w:r>
      <w:r w:rsidR="00CB77B3" w:rsidRPr="00CB77B3">
        <w:rPr>
          <w:rFonts w:ascii="Book Antiqua" w:hAnsi="Book Antiqua"/>
          <w:color w:val="000000"/>
          <w:lang w:bidi="ru-RU"/>
        </w:rPr>
        <w:t>.1</w:t>
      </w:r>
      <w:r w:rsidR="00CB77B3">
        <w:rPr>
          <w:rFonts w:ascii="Book Antiqua" w:hAnsi="Book Antiqua"/>
          <w:color w:val="000000"/>
          <w:lang w:bidi="ru-RU"/>
        </w:rPr>
        <w:t>2</w:t>
      </w:r>
      <w:r w:rsidR="00CB77B3" w:rsidRPr="00CB77B3">
        <w:rPr>
          <w:rFonts w:ascii="Book Antiqua" w:hAnsi="Book Antiqua"/>
          <w:color w:val="000000"/>
          <w:lang w:bidi="ru-RU"/>
        </w:rPr>
        <w:t xml:space="preserve">.2016г. № </w:t>
      </w:r>
      <w:r w:rsidR="00CB77B3">
        <w:rPr>
          <w:rFonts w:ascii="Book Antiqua" w:hAnsi="Book Antiqua"/>
          <w:color w:val="000000"/>
          <w:lang w:bidi="ru-RU"/>
        </w:rPr>
        <w:t>71</w:t>
      </w:r>
      <w:r w:rsidR="00CB77B3" w:rsidRPr="00CB77B3">
        <w:rPr>
          <w:rFonts w:ascii="Book Antiqua" w:hAnsi="Book Antiqua"/>
          <w:color w:val="000000"/>
          <w:lang w:bidi="ru-RU"/>
        </w:rPr>
        <w:t>-МА «О внесении</w:t>
      </w:r>
      <w:proofErr w:type="gramEnd"/>
      <w:r w:rsidR="00CB77B3" w:rsidRPr="00CB77B3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="00CB77B3" w:rsidRPr="00CB77B3">
        <w:rPr>
          <w:rFonts w:ascii="Book Antiqua" w:hAnsi="Book Antiqua"/>
          <w:color w:val="000000"/>
          <w:lang w:bidi="ru-RU"/>
        </w:rPr>
        <w:t>изменений в Постановление местной администрации Качинского муниципального округа от 23.11.2016г. № 53-МА «Об утверждении Перечня муниципальных программ внутригородского муниципального образования города Севастополя Качинский муниципальный округ на 2017 год»»</w:t>
      </w:r>
      <w:r w:rsidR="00CB77B3">
        <w:rPr>
          <w:rFonts w:ascii="Book Antiqua" w:hAnsi="Book Antiqua"/>
          <w:color w:val="000000"/>
          <w:lang w:bidi="ru-RU"/>
        </w:rPr>
        <w:t xml:space="preserve">, </w:t>
      </w:r>
      <w:r w:rsidR="00840B37" w:rsidRPr="00B05B9C">
        <w:rPr>
          <w:rFonts w:ascii="Book Antiqua" w:hAnsi="Book Antiqua"/>
          <w:color w:val="000000"/>
          <w:lang w:bidi="ru-RU"/>
        </w:rPr>
        <w:t>статьей 179 Бюджетного кодекса Российской Федерации,</w:t>
      </w:r>
      <w:r>
        <w:rPr>
          <w:rFonts w:ascii="Book Antiqua" w:hAnsi="Book Antiqua"/>
          <w:color w:val="000000"/>
          <w:lang w:bidi="ru-RU"/>
        </w:rPr>
        <w:t xml:space="preserve"> </w:t>
      </w:r>
      <w:r w:rsidR="00B05B9C" w:rsidRPr="00B05B9C">
        <w:rPr>
          <w:rFonts w:ascii="Book Antiqua" w:hAnsi="Book Antiqua"/>
          <w:color w:val="000000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</w:t>
      </w:r>
      <w:proofErr w:type="gramEnd"/>
      <w:r w:rsidR="008F19CB" w:rsidRPr="00DD6DC6">
        <w:rPr>
          <w:rFonts w:ascii="Book Antiqua" w:hAnsi="Book Antiqua"/>
          <w:color w:val="000000"/>
          <w:lang w:bidi="ru-RU"/>
        </w:rPr>
        <w:t xml:space="preserve">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администрации Качинского муниципального округа от 24.11.2016 № 54-МА «Об утверждении 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</w:t>
      </w:r>
      <w:r w:rsidR="00E10796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251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="00A72519">
        <w:rPr>
          <w:rFonts w:ascii="Book Antiqua" w:hAnsi="Book Antiqua"/>
          <w:color w:val="000000"/>
          <w:sz w:val="24"/>
          <w:szCs w:val="24"/>
          <w:lang w:bidi="ru-RU"/>
        </w:rPr>
        <w:t>Пункт 3 Постановления изложить в следующей редакции:</w:t>
      </w:r>
    </w:p>
    <w:p w:rsidR="00A72519" w:rsidRDefault="006A1ABB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«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 вступает в силу после его официального опубликования и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действует с 01 января 2016 года».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1.2.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годы»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ПАСПОРТ</w:t>
      </w:r>
    </w:p>
    <w:p w:rsidR="009E0299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на 201</w:t>
      </w:r>
      <w:r>
        <w:rPr>
          <w:rFonts w:ascii="Book Antiqua" w:hAnsi="Book Antiqua"/>
          <w:b/>
          <w:sz w:val="28"/>
          <w:szCs w:val="28"/>
        </w:rPr>
        <w:t>6</w:t>
      </w:r>
      <w:r w:rsidRPr="00124D75">
        <w:rPr>
          <w:rFonts w:ascii="Book Antiqua" w:hAnsi="Book Antiqua"/>
          <w:b/>
          <w:sz w:val="28"/>
          <w:szCs w:val="28"/>
        </w:rPr>
        <w:t>-201</w:t>
      </w:r>
      <w:r>
        <w:rPr>
          <w:rFonts w:ascii="Book Antiqua" w:hAnsi="Book Antiqua"/>
          <w:b/>
          <w:sz w:val="28"/>
          <w:szCs w:val="28"/>
        </w:rPr>
        <w:t>8</w:t>
      </w:r>
      <w:r w:rsidRPr="00124D75">
        <w:rPr>
          <w:rFonts w:ascii="Book Antiqua" w:hAnsi="Book Antiqua"/>
          <w:b/>
          <w:sz w:val="28"/>
          <w:szCs w:val="28"/>
        </w:rPr>
        <w:t xml:space="preserve"> годы</w:t>
      </w:r>
      <w:r>
        <w:rPr>
          <w:rFonts w:ascii="Book Antiqua" w:hAnsi="Book Antiqua"/>
          <w:b/>
          <w:sz w:val="28"/>
          <w:szCs w:val="28"/>
        </w:rPr>
        <w:t>»</w:t>
      </w: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9E0299" w:rsidRPr="00124D75" w:rsidRDefault="009E0299" w:rsidP="009E02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«Праздники»;</w:t>
            </w:r>
          </w:p>
          <w:p w:rsidR="009E0299" w:rsidRPr="00124D75" w:rsidRDefault="009E0299" w:rsidP="00E37F7C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«Военно-патриотическое воспитание»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создание благоприятных социальных, творческих и организационно-правовых условий для воспитания и развития жителей округа, особенно молодых граждан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Срок реализации </w:t>
            </w:r>
            <w:r w:rsidRPr="00124D75">
              <w:rPr>
                <w:rFonts w:ascii="Book Antiqua" w:hAnsi="Book Antiqua" w:cs="Arial"/>
              </w:rPr>
              <w:t>201</w:t>
            </w:r>
            <w:r>
              <w:rPr>
                <w:rFonts w:ascii="Book Antiqua" w:hAnsi="Book Antiqua" w:cs="Arial"/>
              </w:rPr>
              <w:t>6</w:t>
            </w:r>
            <w:r w:rsidRPr="00124D75">
              <w:rPr>
                <w:rFonts w:ascii="Book Antiqua" w:hAnsi="Book Antiqua" w:cs="Arial"/>
              </w:rPr>
              <w:t>-201</w:t>
            </w:r>
            <w:r>
              <w:rPr>
                <w:rFonts w:ascii="Book Antiqua" w:hAnsi="Book Antiqua" w:cs="Arial"/>
              </w:rPr>
              <w:t xml:space="preserve">8 </w:t>
            </w:r>
            <w:r w:rsidRPr="00124D75">
              <w:rPr>
                <w:rFonts w:ascii="Book Antiqua" w:hAnsi="Book Antiqua"/>
              </w:rPr>
              <w:t>годы</w:t>
            </w:r>
          </w:p>
        </w:tc>
      </w:tr>
      <w:tr w:rsidR="009E0299" w:rsidRPr="00124D75" w:rsidTr="00E37F7C">
        <w:trPr>
          <w:trHeight w:val="1715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24D75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24D75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2016 год –  499,0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2017 год –  </w:t>
            </w:r>
            <w:r>
              <w:rPr>
                <w:rFonts w:ascii="Book Antiqua" w:hAnsi="Book Antiqua"/>
              </w:rPr>
              <w:t>635</w:t>
            </w:r>
            <w:r w:rsidRPr="00124D75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9</w:t>
            </w:r>
            <w:r w:rsidRPr="00124D75">
              <w:rPr>
                <w:rFonts w:ascii="Book Antiqua" w:hAnsi="Book Antiqua"/>
              </w:rPr>
              <w:t xml:space="preserve">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2018 год –  860,0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</w:tc>
      </w:tr>
      <w:tr w:rsidR="009E0299" w:rsidRPr="00124D75" w:rsidTr="00E37F7C">
        <w:trPr>
          <w:trHeight w:val="709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Привлечение творческих коллективов и жителей к культурной жизни на территории Качинского муниципального округа</w:t>
            </w:r>
          </w:p>
        </w:tc>
      </w:tr>
    </w:tbl>
    <w:p w:rsidR="009E0299" w:rsidRPr="002329A8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1D286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1.3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Подпрограммы «Праздники» муниципальной программы «Развитие культуры внутригородского муниципального образования города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Севастополя Качинский муниципальный округ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годы»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9E0299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ПАСПОРТ</w:t>
      </w: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«Праздники» муниципальной программы</w:t>
      </w: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«Развитие культуры внутригородского муниципального образования </w:t>
      </w: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города Севастополя Качинский муниципальный округ» </w:t>
      </w: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815A48">
        <w:rPr>
          <w:rFonts w:ascii="Book Antiqua" w:hAnsi="Book Antiqua"/>
          <w:b/>
          <w:bCs/>
          <w:color w:val="000000"/>
        </w:rPr>
        <w:t>на 201</w:t>
      </w:r>
      <w:r>
        <w:rPr>
          <w:rFonts w:ascii="Book Antiqua" w:hAnsi="Book Antiqua"/>
          <w:b/>
          <w:bCs/>
          <w:color w:val="000000"/>
        </w:rPr>
        <w:t>6</w:t>
      </w:r>
      <w:r w:rsidRPr="00815A48">
        <w:rPr>
          <w:rFonts w:ascii="Book Antiqua" w:hAnsi="Book Antiqua"/>
          <w:b/>
          <w:bCs/>
          <w:color w:val="000000"/>
        </w:rPr>
        <w:t>-201</w:t>
      </w:r>
      <w:r>
        <w:rPr>
          <w:rFonts w:ascii="Book Antiqua" w:hAnsi="Book Antiqua"/>
          <w:b/>
          <w:bCs/>
          <w:color w:val="000000"/>
        </w:rPr>
        <w:t>8</w:t>
      </w:r>
      <w:r w:rsidRPr="00815A48">
        <w:rPr>
          <w:rFonts w:ascii="Book Antiqua" w:hAnsi="Book Antiqua"/>
          <w:b/>
          <w:bCs/>
          <w:color w:val="000000"/>
        </w:rPr>
        <w:t xml:space="preserve"> годы</w:t>
      </w: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9E0299" w:rsidRPr="00124D75" w:rsidTr="00E37F7C">
        <w:trPr>
          <w:cantSplit/>
          <w:tblCellSpacing w:w="5" w:type="nil"/>
        </w:trPr>
        <w:tc>
          <w:tcPr>
            <w:tcW w:w="3544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124D75" w:rsidTr="00E37F7C">
        <w:trPr>
          <w:cantSplit/>
          <w:tblCellSpacing w:w="5" w:type="nil"/>
        </w:trPr>
        <w:tc>
          <w:tcPr>
            <w:tcW w:w="3544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Участники подпрограммы               </w:t>
            </w:r>
          </w:p>
        </w:tc>
        <w:tc>
          <w:tcPr>
            <w:tcW w:w="6662" w:type="dxa"/>
          </w:tcPr>
          <w:p w:rsidR="009E0299" w:rsidRPr="00124D75" w:rsidRDefault="009E0299" w:rsidP="009E0299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Местная администрация  Качинского муниципального округа, Совет Качинского муниципального округа, </w:t>
            </w:r>
          </w:p>
        </w:tc>
      </w:tr>
      <w:tr w:rsidR="009E0299" w:rsidRPr="00124D75" w:rsidTr="00E37F7C">
        <w:trPr>
          <w:cantSplit/>
          <w:tblCellSpacing w:w="5" w:type="nil"/>
        </w:trPr>
        <w:tc>
          <w:tcPr>
            <w:tcW w:w="3544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Цель подпрограммы            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создание благоприятных творческих условий для воспитания и развития жителей округа, особенно молодых граждан.</w:t>
            </w:r>
          </w:p>
        </w:tc>
      </w:tr>
      <w:tr w:rsidR="009E0299" w:rsidRPr="00124D75" w:rsidTr="00E37F7C">
        <w:trPr>
          <w:cantSplit/>
          <w:tblCellSpacing w:w="5" w:type="nil"/>
        </w:trPr>
        <w:tc>
          <w:tcPr>
            <w:tcW w:w="3544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Задачи подпрограммы                 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развитие творческого потенциала коллективов художественной самодеятельности, что будет способствовать культурному и духовному росту граждан;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увеличение количества творческих коллективов и участников самодеятельности, принимающих участие конкурсах, смотрах, фестивалях различных уровней;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поддержка творческих коллективов в их стремлении к изучению и распространению культурного наследия;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повышение информированности населения о национальных, конфессиональных, государственных праздниках, исторических датах, истории региона;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9E0299" w:rsidRPr="00124D75" w:rsidTr="00E37F7C">
        <w:trPr>
          <w:cantSplit/>
          <w:tblCellSpacing w:w="5" w:type="nil"/>
        </w:trPr>
        <w:tc>
          <w:tcPr>
            <w:tcW w:w="3544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Сроки и этапы реализации подпрограммы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/>
                <w:color w:val="000000"/>
              </w:rPr>
              <w:t>201</w:t>
            </w:r>
            <w:r>
              <w:rPr>
                <w:rFonts w:ascii="Book Antiqua" w:hAnsi="Book Antiqua"/>
                <w:color w:val="000000"/>
              </w:rPr>
              <w:t>6</w:t>
            </w:r>
            <w:r w:rsidRPr="00124D75">
              <w:rPr>
                <w:rFonts w:ascii="Book Antiqua" w:hAnsi="Book Antiqua"/>
                <w:color w:val="000000"/>
              </w:rPr>
              <w:t>-201</w:t>
            </w:r>
            <w:r>
              <w:rPr>
                <w:rFonts w:ascii="Book Antiqua" w:hAnsi="Book Antiqua"/>
                <w:color w:val="000000"/>
              </w:rPr>
              <w:t>8</w:t>
            </w:r>
            <w:r w:rsidRPr="00124D75">
              <w:rPr>
                <w:rFonts w:ascii="Book Antiqua" w:hAnsi="Book Antiqua"/>
                <w:color w:val="000000"/>
              </w:rPr>
              <w:t xml:space="preserve"> годы</w:t>
            </w:r>
          </w:p>
        </w:tc>
      </w:tr>
      <w:tr w:rsidR="009E0299" w:rsidRPr="00124D75" w:rsidTr="00E37F7C">
        <w:trPr>
          <w:cantSplit/>
          <w:trHeight w:val="1055"/>
          <w:tblCellSpacing w:w="5" w:type="nil"/>
        </w:trPr>
        <w:tc>
          <w:tcPr>
            <w:tcW w:w="3544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2016 год – 420,5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>.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2017 год – </w:t>
            </w:r>
            <w:r>
              <w:rPr>
                <w:rFonts w:ascii="Book Antiqua" w:hAnsi="Book Antiqua" w:cs="Arial"/>
              </w:rPr>
              <w:t>535</w:t>
            </w:r>
            <w:r w:rsidRPr="00124D75">
              <w:rPr>
                <w:rFonts w:ascii="Book Antiqua" w:hAnsi="Book Antiqua" w:cs="Arial"/>
              </w:rPr>
              <w:t>,</w:t>
            </w:r>
            <w:r>
              <w:rPr>
                <w:rFonts w:ascii="Book Antiqua" w:hAnsi="Book Antiqua" w:cs="Arial"/>
              </w:rPr>
              <w:t>9</w:t>
            </w:r>
            <w:r w:rsidRPr="00124D75">
              <w:rPr>
                <w:rFonts w:ascii="Book Antiqua" w:hAnsi="Book Antiqua" w:cs="Arial"/>
              </w:rPr>
              <w:t xml:space="preserve">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>.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2018 год – 634,0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 xml:space="preserve">.  </w:t>
            </w:r>
          </w:p>
        </w:tc>
      </w:tr>
      <w:tr w:rsidR="009E0299" w:rsidRPr="00124D75" w:rsidTr="00E37F7C">
        <w:trPr>
          <w:cantSplit/>
          <w:tblCellSpacing w:w="5" w:type="nil"/>
        </w:trPr>
        <w:tc>
          <w:tcPr>
            <w:tcW w:w="3544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Конечные результаты реализации подпрограммы    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Рост числа участников творческих коллективов, жителей, вовлечённых в культурную жизнь округа.</w:t>
            </w:r>
          </w:p>
        </w:tc>
      </w:tr>
    </w:tbl>
    <w:p w:rsidR="009E0299" w:rsidRDefault="009E0299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1.</w:t>
      </w:r>
      <w:r w:rsidR="001D286B">
        <w:rPr>
          <w:rFonts w:ascii="Book Antiqua" w:hAnsi="Book Antiqua"/>
          <w:color w:val="000000"/>
          <w:sz w:val="24"/>
          <w:szCs w:val="24"/>
          <w:lang w:bidi="ru-RU"/>
        </w:rPr>
        <w:t>4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5C360A" w:rsidRDefault="005C360A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ПАСПОРТ</w:t>
      </w:r>
    </w:p>
    <w:p w:rsidR="009E0299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92029A">
        <w:rPr>
          <w:rFonts w:ascii="Book Antiqua" w:hAnsi="Book Antiqua"/>
          <w:b/>
          <w:bCs/>
          <w:color w:val="000000"/>
        </w:rPr>
        <w:t>на 201</w:t>
      </w:r>
      <w:r>
        <w:rPr>
          <w:rFonts w:ascii="Book Antiqua" w:hAnsi="Book Antiqua"/>
          <w:b/>
          <w:bCs/>
          <w:color w:val="000000"/>
        </w:rPr>
        <w:t>6</w:t>
      </w:r>
      <w:r w:rsidRPr="0092029A">
        <w:rPr>
          <w:rFonts w:ascii="Book Antiqua" w:hAnsi="Book Antiqua"/>
          <w:b/>
          <w:bCs/>
          <w:color w:val="000000"/>
        </w:rPr>
        <w:t>-201</w:t>
      </w:r>
      <w:r>
        <w:rPr>
          <w:rFonts w:ascii="Book Antiqua" w:hAnsi="Book Antiqua"/>
          <w:b/>
          <w:bCs/>
          <w:color w:val="000000"/>
        </w:rPr>
        <w:t>8</w:t>
      </w:r>
      <w:r w:rsidRPr="0092029A">
        <w:rPr>
          <w:rFonts w:ascii="Book Antiqua" w:hAnsi="Book Antiqua"/>
          <w:b/>
          <w:bCs/>
          <w:color w:val="000000"/>
        </w:rPr>
        <w:t xml:space="preserve"> годы</w:t>
      </w:r>
      <w:r w:rsidRPr="00124D75">
        <w:rPr>
          <w:rFonts w:ascii="Book Antiqua" w:hAnsi="Book Antiqua"/>
          <w:b/>
          <w:bCs/>
          <w:color w:val="000000"/>
        </w:rPr>
        <w:t xml:space="preserve">» </w:t>
      </w:r>
    </w:p>
    <w:p w:rsidR="009E0299" w:rsidRPr="00124D75" w:rsidRDefault="009E0299" w:rsidP="009E0299">
      <w:pPr>
        <w:contextualSpacing/>
        <w:jc w:val="both"/>
        <w:rPr>
          <w:rFonts w:ascii="Book Antiqua" w:hAnsi="Book Antiqua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7087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Участники подпрограммы               </w:t>
            </w:r>
          </w:p>
        </w:tc>
        <w:tc>
          <w:tcPr>
            <w:tcW w:w="7087" w:type="dxa"/>
          </w:tcPr>
          <w:p w:rsidR="005C360A" w:rsidRDefault="009E0299" w:rsidP="005C360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Местная администрация  Качинского муниципального округа, </w:t>
            </w:r>
          </w:p>
          <w:p w:rsidR="009E0299" w:rsidRPr="009004FD" w:rsidRDefault="009E0299" w:rsidP="005C360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Совет Качинского муниципального округа</w:t>
            </w: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Цель подпрограммы             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E0299" w:rsidRPr="009004FD" w:rsidRDefault="005C360A" w:rsidP="00E37F7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Р</w:t>
            </w:r>
            <w:r w:rsidR="009E0299" w:rsidRPr="009004FD">
              <w:rPr>
                <w:rFonts w:ascii="Book Antiqua" w:hAnsi="Book Antiqua" w:cs="Arial"/>
                <w:sz w:val="20"/>
                <w:szCs w:val="20"/>
              </w:rPr>
              <w:t xml:space="preserve">азвитие у молодежи гражданственности, патриотизма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   </w:t>
            </w:r>
            <w:proofErr w:type="gramEnd"/>
          </w:p>
        </w:tc>
      </w:tr>
      <w:tr w:rsidR="009E0299" w:rsidRPr="009004FD" w:rsidTr="00E37F7C">
        <w:trPr>
          <w:cantSplit/>
          <w:trHeight w:val="615"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Задачи подпрограммы     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проведение научно-обоснованной управленческой и организаторской деятельности по созданию условий для эффективного военно-патриотического воспитания молодежи; </w:t>
            </w:r>
          </w:p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утверждение в сознании и чувствах молодежи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военной службы; </w:t>
            </w:r>
          </w:p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обязанностей; </w:t>
            </w:r>
          </w:p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создание механизма, обеспечивающего эффективное функционирование целостной системы военно-патриотического воспитания молодежи.</w:t>
            </w: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9E0299" w:rsidRPr="009004FD" w:rsidRDefault="009E0299" w:rsidP="000F2FA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</w:t>
            </w:r>
            <w:r w:rsidR="000F2FAB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– 201</w:t>
            </w:r>
            <w:r w:rsidR="000F2FAB">
              <w:rPr>
                <w:rFonts w:ascii="Book Antiqua" w:hAnsi="Book Antiqua" w:cs="Arial"/>
                <w:sz w:val="20"/>
                <w:szCs w:val="20"/>
              </w:rPr>
              <w:t>8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годы</w:t>
            </w:r>
          </w:p>
        </w:tc>
      </w:tr>
      <w:tr w:rsidR="009E0299" w:rsidRPr="009004FD" w:rsidTr="00E37F7C">
        <w:trPr>
          <w:cantSplit/>
          <w:trHeight w:val="1055"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7087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2016 год – </w:t>
            </w:r>
            <w:r>
              <w:rPr>
                <w:rFonts w:ascii="Book Antiqua" w:hAnsi="Book Antiqua" w:cs="Arial"/>
                <w:sz w:val="20"/>
                <w:szCs w:val="20"/>
              </w:rPr>
              <w:t>78,5</w:t>
            </w:r>
            <w:r w:rsidR="00A7251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2017 год – </w:t>
            </w:r>
            <w:r>
              <w:rPr>
                <w:rFonts w:ascii="Book Antiqua" w:hAnsi="Book Antiqua" w:cs="Arial"/>
                <w:sz w:val="20"/>
                <w:szCs w:val="20"/>
              </w:rPr>
              <w:t>100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>,0</w:t>
            </w:r>
            <w:r w:rsidR="00A7251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2018 год – 226,0</w:t>
            </w:r>
            <w:r w:rsidR="00A7251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Конечные результаты реализации подпрограммы     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E0299" w:rsidRPr="009004FD" w:rsidRDefault="009E0299" w:rsidP="00E37F7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духовно-нравственной культуры молодежи;</w:t>
            </w:r>
          </w:p>
          <w:p w:rsidR="009E0299" w:rsidRPr="009004FD" w:rsidRDefault="009E0299" w:rsidP="00E37F7C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гражданской идентичности;</w:t>
            </w:r>
          </w:p>
          <w:p w:rsidR="009E0299" w:rsidRPr="009004FD" w:rsidRDefault="009E0299" w:rsidP="00E37F7C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степени готовности к выполнению обязанностей по защите Отечества;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совершенствования работы по подготовке молодежи к службе в армии.</w:t>
            </w:r>
          </w:p>
        </w:tc>
      </w:tr>
    </w:tbl>
    <w:p w:rsidR="009E0299" w:rsidRPr="00124D75" w:rsidRDefault="009E0299" w:rsidP="009E0299">
      <w:pPr>
        <w:ind w:left="720"/>
        <w:contextualSpacing/>
        <w:jc w:val="both"/>
        <w:rPr>
          <w:rFonts w:ascii="Book Antiqua" w:hAnsi="Book Antiqua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1.</w:t>
      </w:r>
      <w:r w:rsidR="001D286B">
        <w:rPr>
          <w:rFonts w:ascii="Book Antiqua" w:hAnsi="Book Antiqua"/>
          <w:color w:val="000000"/>
          <w:sz w:val="24"/>
          <w:szCs w:val="24"/>
          <w:lang w:bidi="ru-RU"/>
        </w:rPr>
        <w:t>5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Приложение 2 и 3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к муниципальной программе «Развитие культуры внутригородского муниципального образования города Севастополя Качинский муниципальный округ» на 2016-2018 годы»,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24.11.2016 № 54-МА  изложить в редакции ПРИЛОЖЕНИЯ к настоящему постановлению.</w:t>
      </w:r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AF55D7" w:rsidRDefault="00AF55D7" w:rsidP="00BA1611">
      <w:pPr>
        <w:jc w:val="center"/>
        <w:sectPr w:rsidR="00AF55D7" w:rsidSect="00BD51C2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1" w:name="Par34"/>
      <w:bookmarkEnd w:id="1"/>
    </w:p>
    <w:p w:rsidR="000F2FAB" w:rsidRPr="002F02DC" w:rsidRDefault="000F2FAB" w:rsidP="00872D63">
      <w:pPr>
        <w:ind w:left="6804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0F2FAB" w:rsidRDefault="000F2FAB" w:rsidP="00872D63">
      <w:pPr>
        <w:ind w:left="6804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0F2FAB" w:rsidRPr="00C54076" w:rsidRDefault="000F2FAB" w:rsidP="00872D63">
      <w:pPr>
        <w:ind w:left="6804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0F2FAB" w:rsidRPr="00C54076" w:rsidRDefault="000F2FAB" w:rsidP="00872D63">
      <w:pPr>
        <w:ind w:left="6804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A72519">
        <w:rPr>
          <w:rFonts w:ascii="Book Antiqua" w:hAnsi="Book Antiqua" w:cs="Book Antiqua"/>
          <w:sz w:val="20"/>
          <w:szCs w:val="20"/>
        </w:rPr>
        <w:t>01</w:t>
      </w:r>
      <w:r>
        <w:rPr>
          <w:rFonts w:ascii="Book Antiqua" w:hAnsi="Book Antiqua" w:cs="Book Antiqua"/>
          <w:sz w:val="20"/>
          <w:szCs w:val="20"/>
        </w:rPr>
        <w:t>.0</w:t>
      </w:r>
      <w:r w:rsidR="00A72519">
        <w:rPr>
          <w:rFonts w:ascii="Book Antiqua" w:hAnsi="Book Antiqua" w:cs="Book Antiqua"/>
          <w:sz w:val="20"/>
          <w:szCs w:val="20"/>
        </w:rPr>
        <w:t>2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A72519">
        <w:rPr>
          <w:rFonts w:ascii="Book Antiqua" w:hAnsi="Book Antiqua" w:cs="Book Antiqua"/>
          <w:sz w:val="20"/>
          <w:szCs w:val="20"/>
        </w:rPr>
        <w:t>14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0F2FAB" w:rsidRDefault="000F2FAB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</w:p>
    <w:p w:rsidR="00AF55D7" w:rsidRPr="00124D75" w:rsidRDefault="00AF55D7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Приложение 2 </w:t>
      </w:r>
    </w:p>
    <w:p w:rsidR="00AF55D7" w:rsidRPr="00124D75" w:rsidRDefault="00D51414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Pr="00124D75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6</w:t>
      </w:r>
      <w:r w:rsidRPr="00124D75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8</w:t>
      </w:r>
      <w:r w:rsidRPr="00124D75">
        <w:rPr>
          <w:rFonts w:ascii="Book Antiqua" w:hAnsi="Book Antiqua"/>
          <w:color w:val="000000"/>
        </w:rPr>
        <w:t xml:space="preserve"> годы</w:t>
      </w:r>
      <w:r w:rsidRPr="000833E6">
        <w:rPr>
          <w:rFonts w:ascii="Book Antiqua" w:hAnsi="Book Antiqua"/>
          <w:color w:val="000000"/>
        </w:rPr>
        <w:t>»</w:t>
      </w:r>
    </w:p>
    <w:p w:rsidR="00AF55D7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D51414" w:rsidRPr="00124D75" w:rsidRDefault="00D51414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на 2016 – 2018 годы</w:t>
      </w:r>
    </w:p>
    <w:p w:rsidR="00AF55D7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D51414" w:rsidRPr="00124D75" w:rsidRDefault="00D51414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92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Исполнители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тыс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уб</w:t>
            </w:r>
            <w:proofErr w:type="spell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2018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AF55D7" w:rsidRPr="00D51414" w:rsidTr="00815A48">
        <w:trPr>
          <w:cantSplit/>
        </w:trPr>
        <w:tc>
          <w:tcPr>
            <w:tcW w:w="5211" w:type="dxa"/>
            <w:gridSpan w:val="4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«Праздники»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1590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420,5</w:t>
            </w:r>
          </w:p>
        </w:tc>
        <w:tc>
          <w:tcPr>
            <w:tcW w:w="850" w:type="dxa"/>
          </w:tcPr>
          <w:p w:rsidR="00AF55D7" w:rsidRPr="00D51414" w:rsidRDefault="000F2FAB" w:rsidP="000F2FA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535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634,0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B83405">
        <w:trPr>
          <w:cantSplit/>
          <w:trHeight w:val="3328"/>
        </w:trPr>
        <w:tc>
          <w:tcPr>
            <w:tcW w:w="675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AF55D7" w:rsidRPr="00D51414" w:rsidRDefault="00AF55D7" w:rsidP="00815A48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Проведение мероприятий, посвященных празднованию знаменательных дат Российской Федерации, Крыма, города Севастополя, Качинского МО, профессиональных праздников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1477,00</w:t>
            </w:r>
          </w:p>
        </w:tc>
        <w:tc>
          <w:tcPr>
            <w:tcW w:w="851" w:type="dxa"/>
          </w:tcPr>
          <w:p w:rsidR="00AF55D7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407</w:t>
            </w:r>
            <w:r w:rsidR="00AF55D7"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F55D7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500</w:t>
            </w:r>
            <w:r w:rsidR="00AF55D7"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569,0</w:t>
            </w:r>
          </w:p>
        </w:tc>
        <w:tc>
          <w:tcPr>
            <w:tcW w:w="1205" w:type="dxa"/>
          </w:tcPr>
          <w:p w:rsidR="00AF55D7" w:rsidRPr="00D51414" w:rsidRDefault="00AF55D7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>Не менее 1</w:t>
            </w:r>
            <w:r w:rsidR="000F2FAB">
              <w:rPr>
                <w:rFonts w:ascii="Book Antiqua" w:hAnsi="Book Antiqua"/>
                <w:sz w:val="22"/>
                <w:szCs w:val="22"/>
              </w:rPr>
              <w:t>0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0F2FA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11</w:t>
            </w:r>
            <w:r w:rsidR="00B8340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83405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="00B83405">
              <w:rPr>
                <w:rFonts w:ascii="Book Antiqua" w:hAnsi="Book Antiqua"/>
                <w:sz w:val="22"/>
                <w:szCs w:val="22"/>
              </w:rPr>
              <w:t>-при</w:t>
            </w:r>
            <w:r w:rsidR="00AF55D7"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gramEnd"/>
            <w:r w:rsidR="00AF55D7"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0F2FA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>Не менее 1</w:t>
            </w:r>
            <w:r w:rsidR="00B83405">
              <w:rPr>
                <w:rFonts w:ascii="Book Antiqua" w:hAnsi="Book Antiqua"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="00B83405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="00B83405">
              <w:rPr>
                <w:rFonts w:ascii="Book Antiqua" w:hAnsi="Book Antiqua"/>
                <w:sz w:val="22"/>
                <w:szCs w:val="22"/>
              </w:rPr>
              <w:t>-при</w:t>
            </w:r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B83405" w:rsidRPr="00D51414" w:rsidTr="00B83405">
        <w:trPr>
          <w:cantSplit/>
        </w:trPr>
        <w:tc>
          <w:tcPr>
            <w:tcW w:w="675" w:type="dxa"/>
            <w:gridSpan w:val="2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, праздничных мероприятиях города Севастополя</w:t>
            </w:r>
          </w:p>
        </w:tc>
        <w:tc>
          <w:tcPr>
            <w:tcW w:w="1842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405" w:rsidRPr="00D51414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851" w:type="dxa"/>
          </w:tcPr>
          <w:p w:rsidR="00B83405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13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35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05" w:type="dxa"/>
          </w:tcPr>
          <w:p w:rsidR="00B83405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211" w:type="dxa"/>
            <w:gridSpan w:val="4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«Военно-патриотическое воспитание»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404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,5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850" w:type="dxa"/>
          </w:tcPr>
          <w:p w:rsidR="00AF55D7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100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83405" w:rsidRPr="00D51414" w:rsidTr="00815A48">
        <w:trPr>
          <w:cantSplit/>
        </w:trPr>
        <w:tc>
          <w:tcPr>
            <w:tcW w:w="583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Мероприятия, направленные на военно-патриотическое воспитание, повышение престижа государственной и военной службы</w:t>
            </w:r>
          </w:p>
        </w:tc>
        <w:tc>
          <w:tcPr>
            <w:tcW w:w="1842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405" w:rsidRPr="00D51414" w:rsidRDefault="00914906" w:rsidP="0091490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404,</w:t>
            </w:r>
            <w:r w:rsidR="00B83405" w:rsidRPr="00D51414"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850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100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226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205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AF55D7" w:rsidRPr="00D51414" w:rsidRDefault="00914906" w:rsidP="0091490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1994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499,0</w:t>
            </w:r>
          </w:p>
        </w:tc>
        <w:tc>
          <w:tcPr>
            <w:tcW w:w="850" w:type="dxa"/>
            <w:vAlign w:val="center"/>
          </w:tcPr>
          <w:p w:rsidR="00AF55D7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635,9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914906" w:rsidRDefault="00914906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AF55D7" w:rsidRPr="00124D75" w:rsidRDefault="00AF55D7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AF55D7" w:rsidRPr="00124D75" w:rsidRDefault="00D51414" w:rsidP="00872D63">
      <w:pPr>
        <w:shd w:val="clear" w:color="auto" w:fill="FFFFFF"/>
        <w:ind w:left="6804"/>
        <w:rPr>
          <w:rFonts w:ascii="Book Antiqua" w:hAnsi="Book Antiqua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Pr="00124D75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6</w:t>
      </w:r>
      <w:r w:rsidRPr="00124D75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8</w:t>
      </w:r>
      <w:r w:rsidRPr="00124D75">
        <w:rPr>
          <w:rFonts w:ascii="Book Antiqua" w:hAnsi="Book Antiqua"/>
          <w:color w:val="000000"/>
        </w:rPr>
        <w:t xml:space="preserve"> годы</w:t>
      </w:r>
      <w:r w:rsidRPr="000833E6">
        <w:rPr>
          <w:rFonts w:ascii="Book Antiqua" w:hAnsi="Book Antiqua"/>
          <w:color w:val="000000"/>
        </w:rPr>
        <w:t>»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Ресурсное обеспечение и прогнозная (справочная) оценка расходов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на реализацию муниципальной программы из различных источников финансирования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379"/>
        <w:gridCol w:w="1843"/>
        <w:gridCol w:w="1984"/>
        <w:gridCol w:w="1276"/>
        <w:gridCol w:w="1276"/>
        <w:gridCol w:w="1211"/>
      </w:tblGrid>
      <w:tr w:rsidR="00AF55D7" w:rsidRPr="00124D75" w:rsidTr="00815A48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4D75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763" w:type="dxa"/>
            <w:gridSpan w:val="3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124D75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11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F55D7" w:rsidRPr="00124D75" w:rsidTr="00815A48">
        <w:trPr>
          <w:cantSplit/>
          <w:trHeight w:val="375"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79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«Развитие культуры внутригородского муниципального образования города Севастополя Качинский муниципальный округ» на 2016-2018гг.</w:t>
            </w:r>
          </w:p>
        </w:tc>
        <w:tc>
          <w:tcPr>
            <w:tcW w:w="1843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499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F55D7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635,9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860,0</w:t>
            </w:r>
          </w:p>
        </w:tc>
      </w:tr>
      <w:tr w:rsidR="00914906" w:rsidRPr="00124D75" w:rsidTr="00815A48">
        <w:trPr>
          <w:cantSplit/>
          <w:trHeight w:val="567"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499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14906" w:rsidRPr="00124D75" w:rsidRDefault="00914906" w:rsidP="00E37F7C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635,9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860,0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«Праздники»</w:t>
            </w:r>
          </w:p>
        </w:tc>
        <w:tc>
          <w:tcPr>
            <w:tcW w:w="1843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420,5</w:t>
            </w:r>
          </w:p>
        </w:tc>
        <w:tc>
          <w:tcPr>
            <w:tcW w:w="1276" w:type="dxa"/>
          </w:tcPr>
          <w:p w:rsidR="00914906" w:rsidRPr="00124D75" w:rsidRDefault="00914906" w:rsidP="00E37F7C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535,9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634,0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420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14906" w:rsidRPr="00124D75" w:rsidRDefault="00914906" w:rsidP="00914906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535,9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634,0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Военно-патриотическое воспитание</w:t>
            </w:r>
            <w:r w:rsidRPr="00124D75">
              <w:rPr>
                <w:rFonts w:ascii="Book Antiqua" w:hAnsi="Book Antiqua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78,5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100</w:t>
            </w:r>
            <w:r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226,0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78,5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100</w:t>
            </w:r>
            <w:r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226,0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580649" w:rsidRDefault="00580649" w:rsidP="00580649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p w:rsidR="00580649" w:rsidRDefault="00580649" w:rsidP="00580649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  <w:sectPr w:rsidR="00580649" w:rsidSect="00815A4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80649" w:rsidRPr="00C16B26" w:rsidRDefault="00580649" w:rsidP="00580649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bookmarkEnd w:id="2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01.02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14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580649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54-МА «Об утверждении 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580649" w:rsidRPr="00C16B26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Pr="00C16B26" w:rsidRDefault="00580649" w:rsidP="00580649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580649" w:rsidRPr="00C16B26" w:rsidTr="00580649">
        <w:tc>
          <w:tcPr>
            <w:tcW w:w="4785" w:type="dxa"/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580649" w:rsidRPr="00C16B26" w:rsidTr="00580649">
        <w:tc>
          <w:tcPr>
            <w:tcW w:w="4785" w:type="dxa"/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580649" w:rsidRPr="00C16B26" w:rsidTr="00580649">
        <w:tc>
          <w:tcPr>
            <w:tcW w:w="4785" w:type="dxa"/>
          </w:tcPr>
          <w:p w:rsidR="00580649" w:rsidRDefault="00580649" w:rsidP="008047BD">
            <w:pPr>
              <w:rPr>
                <w:rFonts w:ascii="Book Antiqua" w:hAnsi="Book Antiqua"/>
                <w:sz w:val="28"/>
                <w:szCs w:val="28"/>
              </w:rPr>
            </w:pPr>
          </w:p>
          <w:p w:rsidR="00580649" w:rsidRPr="00C16B26" w:rsidRDefault="00580649" w:rsidP="008047B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80649" w:rsidRPr="00C16B26" w:rsidRDefault="00580649" w:rsidP="008047BD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80649" w:rsidRPr="00C16B26" w:rsidRDefault="00580649" w:rsidP="008047BD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580649" w:rsidRPr="00C16B26" w:rsidTr="00580649">
        <w:tc>
          <w:tcPr>
            <w:tcW w:w="4785" w:type="dxa"/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Н.М. Колупанович</w:t>
            </w:r>
          </w:p>
        </w:tc>
      </w:tr>
      <w:tr w:rsidR="00580649" w:rsidRPr="00C16B26" w:rsidTr="00580649">
        <w:tc>
          <w:tcPr>
            <w:tcW w:w="4785" w:type="dxa"/>
          </w:tcPr>
          <w:p w:rsidR="00580649" w:rsidRPr="00C16B26" w:rsidRDefault="00580649" w:rsidP="00725675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80649" w:rsidRPr="00C16B26" w:rsidRDefault="00580649" w:rsidP="0072567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80649" w:rsidRPr="00C16B26" w:rsidRDefault="00580649" w:rsidP="00725675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580649" w:rsidRPr="00C16B26" w:rsidTr="00580649">
        <w:tc>
          <w:tcPr>
            <w:tcW w:w="4785" w:type="dxa"/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580649" w:rsidRPr="00C16B26" w:rsidRDefault="00580649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</w:tbl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AF55D7"/>
    <w:sectPr w:rsidR="00580649" w:rsidSect="0058064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BEB" w:rsidRDefault="00EA6BEB">
      <w:r>
        <w:separator/>
      </w:r>
    </w:p>
  </w:endnote>
  <w:endnote w:type="continuationSeparator" w:id="0">
    <w:p w:rsidR="00EA6BEB" w:rsidRDefault="00EA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BEB" w:rsidRDefault="00EA6BEB">
      <w:r>
        <w:separator/>
      </w:r>
    </w:p>
  </w:footnote>
  <w:footnote w:type="continuationSeparator" w:id="0">
    <w:p w:rsidR="00EA6BEB" w:rsidRDefault="00EA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78" w:rsidRDefault="00082778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82778" w:rsidRDefault="00082778">
    <w:pPr>
      <w:pStyle w:val="af"/>
    </w:pPr>
  </w:p>
  <w:p w:rsidR="00082778" w:rsidRDefault="00082778"/>
  <w:p w:rsidR="00082778" w:rsidRDefault="000827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6B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33B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357F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B7EA4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42B8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0649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360A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42C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37D2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6A61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1C2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2C1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B77B3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6BEB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580649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8064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580649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8064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86C9-F809-4447-B80C-45DC6480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2017-06-02T11:18:00Z</cp:lastPrinted>
  <dcterms:created xsi:type="dcterms:W3CDTF">2017-02-09T14:01:00Z</dcterms:created>
  <dcterms:modified xsi:type="dcterms:W3CDTF">2017-06-02T11:19:00Z</dcterms:modified>
</cp:coreProperties>
</file>