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4D625F">
        <w:rPr>
          <w:rFonts w:ascii="Book Antiqua" w:hAnsi="Book Antiqua"/>
          <w:b/>
          <w:i/>
          <w:sz w:val="40"/>
          <w:szCs w:val="40"/>
        </w:rPr>
        <w:t>18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A72519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797C12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февраля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4D625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24.11.2016 № </w:t>
            </w:r>
            <w:r w:rsidR="004D625F">
              <w:rPr>
                <w:rFonts w:ascii="Book Antiqua" w:hAnsi="Book Antiqua"/>
                <w:b/>
                <w:sz w:val="24"/>
                <w:szCs w:val="24"/>
              </w:rPr>
              <w:t>59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4D625F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4D625F" w:rsidRPr="002F02DC">
              <w:rPr>
                <w:rFonts w:ascii="Book Antiqua" w:hAnsi="Book Antiqua"/>
                <w:b/>
                <w:sz w:val="24"/>
                <w:szCs w:val="24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      </w:r>
            <w:r w:rsidR="004D625F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 год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252C04" w:rsidRPr="00252C0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</w:t>
      </w:r>
      <w:proofErr w:type="gramEnd"/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 муниципальный округ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20.12.2016г. № 71-МА «О внесении изменений в Постановление местной администрации Качинского муниципального округа от 23.11.2016г. № 53-МА «Об утверждении Перечня муниципальных программ внутригородского муниципального образования города Севастополя Качинский муниципальный округ на 2017 год»»,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</w:t>
      </w:r>
      <w:proofErr w:type="gramEnd"/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D5072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4D625F">
        <w:rPr>
          <w:rFonts w:ascii="Book Antiqua" w:hAnsi="Book Antiqua"/>
          <w:color w:val="000000"/>
          <w:sz w:val="24"/>
          <w:szCs w:val="24"/>
          <w:lang w:bidi="ru-RU"/>
        </w:rPr>
        <w:t>59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4D625F">
        <w:rPr>
          <w:rFonts w:ascii="Book Antiqua" w:hAnsi="Book Antiqua" w:cs="Arial"/>
          <w:sz w:val="24"/>
          <w:szCs w:val="24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1.1</w:t>
      </w:r>
      <w:r w:rsidR="00A7251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D1203E">
        <w:rPr>
          <w:rFonts w:ascii="Book Antiqua" w:hAnsi="Book Antiqua" w:cs="Arial"/>
          <w:sz w:val="24"/>
          <w:szCs w:val="24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252C04" w:rsidRDefault="00252C04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4D625F" w:rsidRDefault="004D625F" w:rsidP="004D625F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t>ПАСПОРТ</w:t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:rsidR="004D625F" w:rsidRPr="00124D75" w:rsidRDefault="004D625F" w:rsidP="004D625F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Pr="001B125E">
        <w:rPr>
          <w:rFonts w:ascii="Book Antiqua" w:hAnsi="Book Antiqua" w:cs="Arial"/>
          <w:b/>
          <w:sz w:val="28"/>
          <w:szCs w:val="28"/>
        </w:rPr>
        <w:t xml:space="preserve">Развитие </w:t>
      </w:r>
      <w:r>
        <w:rPr>
          <w:rFonts w:ascii="Book Antiqua" w:hAnsi="Book Antiqua" w:cs="Arial"/>
          <w:b/>
          <w:sz w:val="28"/>
          <w:szCs w:val="28"/>
        </w:rPr>
        <w:t>муниципальной службы во внутригородском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муниципально</w:t>
      </w:r>
      <w:r>
        <w:rPr>
          <w:rFonts w:ascii="Book Antiqua" w:hAnsi="Book Antiqua" w:cs="Arial"/>
          <w:b/>
          <w:sz w:val="28"/>
          <w:szCs w:val="28"/>
        </w:rPr>
        <w:t>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образовани</w:t>
      </w:r>
      <w:r>
        <w:rPr>
          <w:rFonts w:ascii="Book Antiqua" w:hAnsi="Book Antiqua" w:cs="Arial"/>
          <w:b/>
          <w:sz w:val="28"/>
          <w:szCs w:val="28"/>
        </w:rPr>
        <w:t>и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города Севастополя </w:t>
      </w:r>
      <w:r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Pr="001B125E">
        <w:rPr>
          <w:rFonts w:ascii="Book Antiqua" w:hAnsi="Book Antiqua" w:cs="Arial"/>
          <w:b/>
          <w:sz w:val="28"/>
          <w:szCs w:val="28"/>
        </w:rPr>
        <w:t>на 2017-2019 годы</w:t>
      </w:r>
      <w:r w:rsidRPr="00124D75">
        <w:rPr>
          <w:rFonts w:ascii="Book Antiqua" w:hAnsi="Book Antiqua"/>
          <w:b/>
          <w:sz w:val="28"/>
          <w:szCs w:val="28"/>
        </w:rPr>
        <w:t xml:space="preserve">» </w:t>
      </w:r>
    </w:p>
    <w:p w:rsidR="004D625F" w:rsidRPr="001C5601" w:rsidRDefault="004D625F" w:rsidP="004D625F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4D625F" w:rsidRPr="001C5601" w:rsidTr="00F72BEA">
        <w:trPr>
          <w:trHeight w:val="400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4D625F" w:rsidRPr="001B125E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B125E">
              <w:rPr>
                <w:rFonts w:ascii="Book Antiqua" w:hAnsi="Book Antiqua" w:cs="Arial"/>
              </w:rPr>
              <w:t xml:space="preserve">Развитие </w:t>
            </w:r>
            <w:r>
              <w:rPr>
                <w:rFonts w:ascii="Book Antiqua" w:hAnsi="Book Antiqua" w:cs="Arial"/>
              </w:rPr>
              <w:t xml:space="preserve">муниципальной службы во </w:t>
            </w:r>
            <w:r w:rsidRPr="001B125E">
              <w:rPr>
                <w:rFonts w:ascii="Book Antiqua" w:hAnsi="Book Antiqua" w:cs="Arial"/>
              </w:rPr>
              <w:t>внутригородско</w:t>
            </w:r>
            <w:r>
              <w:rPr>
                <w:rFonts w:ascii="Book Antiqua" w:hAnsi="Book Antiqua" w:cs="Arial"/>
              </w:rPr>
              <w:t>м муниципальном образовании</w:t>
            </w:r>
            <w:r w:rsidRPr="001B125E">
              <w:rPr>
                <w:rFonts w:ascii="Book Antiqua" w:hAnsi="Book Antiqua" w:cs="Arial"/>
              </w:rPr>
              <w:t xml:space="preserve"> города Севастополя Качинский муниципальный округ на 2017-2019 годы</w:t>
            </w:r>
          </w:p>
        </w:tc>
      </w:tr>
      <w:tr w:rsidR="004D625F" w:rsidRPr="001C5601" w:rsidTr="00F72BEA">
        <w:trPr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4D625F" w:rsidRPr="001C5601" w:rsidTr="00F72BEA">
        <w:trPr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4D625F" w:rsidRPr="001C5601" w:rsidRDefault="004D625F" w:rsidP="00F72B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4D625F" w:rsidRPr="001C5601" w:rsidTr="00F72BEA">
        <w:trPr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4D625F" w:rsidRPr="004E5580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E5580">
              <w:rPr>
                <w:rFonts w:ascii="Book Antiqua" w:hAnsi="Book Antiqua"/>
              </w:rPr>
              <w:t>Развитие и совершенствование муниципальной службы во внутригородском муниципальном образовании города Севастополя Качинский муниципальный округ посредством внедрения эффективных кадровых технологий, формирования высококвалифицированного кадрового состава, совершенствования системы управления муниципальной службой и системы непрерывного обучения муниципальных служащих</w:t>
            </w:r>
          </w:p>
        </w:tc>
      </w:tr>
      <w:tr w:rsidR="004D625F" w:rsidRPr="001C5601" w:rsidTr="00F72BEA">
        <w:trPr>
          <w:trHeight w:val="400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и совершенствование нормативной правовой базы  по вопросам муниципальной службы;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совершенствование системы управления муниципальной службой;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взаимосвязи муниципальной и государственной гражданской службы;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внедрение эффективных кадровых технологий, направленных на повышение профессиональной компетентности, расширение кадрового потенциала;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- повышение ответственности муниципальных </w:t>
            </w:r>
            <w:r w:rsidRPr="004E5580">
              <w:rPr>
                <w:rFonts w:ascii="Book Antiqua" w:hAnsi="Book Antiqua" w:cs="Times New Roman"/>
                <w:sz w:val="24"/>
                <w:szCs w:val="24"/>
              </w:rPr>
              <w:lastRenderedPageBreak/>
              <w:t>служащих за результаты своей деятельности;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внедрение современных технологий и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 - создание системы непрерывной подготовки, и повышения квалификации муниципальных служащих за счет средств бюджета </w:t>
            </w:r>
            <w:r>
              <w:rPr>
                <w:rFonts w:ascii="Book Antiqua" w:hAnsi="Book Antiqua" w:cs="Times New Roman"/>
                <w:sz w:val="24"/>
                <w:szCs w:val="24"/>
              </w:rPr>
              <w:t>Качинского муниципального округа;</w:t>
            </w:r>
          </w:p>
          <w:p w:rsidR="004D625F" w:rsidRPr="004E5580" w:rsidRDefault="004D625F" w:rsidP="004F149F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 и пр</w:t>
            </w:r>
            <w:r w:rsidR="004F149F">
              <w:rPr>
                <w:rFonts w:ascii="Book Antiqua" w:hAnsi="Book Antiqua" w:cs="Times New Roman"/>
                <w:sz w:val="24"/>
                <w:szCs w:val="24"/>
              </w:rPr>
              <w:t>озрачности муниципальной службы</w:t>
            </w:r>
          </w:p>
        </w:tc>
      </w:tr>
      <w:tr w:rsidR="004D625F" w:rsidRPr="001C5601" w:rsidTr="00F72BEA">
        <w:trPr>
          <w:trHeight w:val="629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реализации 2017</w:t>
            </w:r>
            <w:r w:rsidRPr="001C5601">
              <w:rPr>
                <w:rFonts w:ascii="Book Antiqua" w:hAnsi="Book Antiqua"/>
              </w:rPr>
              <w:t xml:space="preserve"> – 201</w:t>
            </w:r>
            <w:r>
              <w:rPr>
                <w:rFonts w:ascii="Book Antiqua" w:hAnsi="Book Antiqua"/>
              </w:rPr>
              <w:t>9</w:t>
            </w:r>
            <w:r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4D625F" w:rsidRPr="001C5601" w:rsidTr="00F72BEA">
        <w:trPr>
          <w:trHeight w:val="709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C5601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C560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C560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4D625F" w:rsidRPr="002028F9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>
              <w:rPr>
                <w:rFonts w:ascii="Book Antiqua" w:hAnsi="Book Antiqua"/>
              </w:rPr>
              <w:t>100</w:t>
            </w:r>
            <w:r w:rsidRPr="002028F9">
              <w:rPr>
                <w:rFonts w:ascii="Book Antiqua" w:hAnsi="Book Antiqua"/>
              </w:rPr>
              <w:t xml:space="preserve">,0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4D625F" w:rsidRPr="002028F9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2018 год –  </w:t>
            </w:r>
            <w:r>
              <w:rPr>
                <w:rFonts w:ascii="Book Antiqua" w:hAnsi="Book Antiqua"/>
              </w:rPr>
              <w:t>450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2019 год –  </w:t>
            </w:r>
            <w:r>
              <w:rPr>
                <w:rFonts w:ascii="Book Antiqua" w:hAnsi="Book Antiqua"/>
              </w:rPr>
              <w:t>500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</w:tc>
      </w:tr>
      <w:tr w:rsidR="004D625F" w:rsidRPr="001C5601" w:rsidTr="00F72BEA">
        <w:trPr>
          <w:trHeight w:val="709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В результате реализации Программы должны быть обеспечены: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внедрение правовых и организационных механизмов взаимосвязи муниципальной службы и государственной гражданской службы;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реализация муниципальных программ развития муниципальной службы;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актуализация содержания программ системы непрерывного обучения муниципальных служащих, внедрение современных образовательных технологий в процесс их обучения;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совершенствование порядка замещения вакантных должностей муниципальной службы на основе конкурса;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- </w:t>
            </w:r>
            <w:r w:rsidRPr="00C92553">
              <w:rPr>
                <w:rFonts w:ascii="Book Antiqua" w:hAnsi="Book Antiqua" w:cs="Times New Roman"/>
                <w:sz w:val="24"/>
                <w:szCs w:val="24"/>
              </w:rPr>
              <w:t>проведения аттестаций и квалификационных экзаменов 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программ и индивидуальных планов профессионального развития 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 xml:space="preserve">- разработка и внедрение современных механизмов мотивации и стимулирования эффективной профессиональной служебной деятельности </w:t>
            </w:r>
            <w:r w:rsidRPr="00C92553">
              <w:rPr>
                <w:rFonts w:ascii="Book Antiqua" w:hAnsi="Book Antiqua" w:cs="Times New Roman"/>
                <w:sz w:val="24"/>
                <w:szCs w:val="24"/>
              </w:rPr>
              <w:lastRenderedPageBreak/>
              <w:t>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реализация установленных законодательством гарантий и прав 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информационных и современных кадровых технологий в системе органов местного самоуправления;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открытости, гласности и равного доступа граждан к муниципальной службе;</w:t>
            </w:r>
          </w:p>
          <w:p w:rsidR="004D625F" w:rsidRPr="001C5601" w:rsidRDefault="004D625F" w:rsidP="00F72BEA">
            <w:pPr>
              <w:rPr>
                <w:rFonts w:ascii="Book Antiqua" w:hAnsi="Book Antiqua"/>
              </w:rPr>
            </w:pPr>
            <w:r w:rsidRPr="00C92553">
              <w:rPr>
                <w:rFonts w:ascii="Book Antiqua" w:hAnsi="Book Antiqua"/>
              </w:rPr>
              <w:t>- повышение доверия населения к органам местного самоуправления.</w:t>
            </w:r>
          </w:p>
        </w:tc>
      </w:tr>
    </w:tbl>
    <w:p w:rsidR="004D625F" w:rsidRDefault="004D625F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D1203E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EF323D"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D1203E">
        <w:rPr>
          <w:rFonts w:ascii="Book Antiqua" w:hAnsi="Book Antiqua" w:cs="Arial"/>
          <w:sz w:val="24"/>
          <w:szCs w:val="24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D1203E">
        <w:rPr>
          <w:rFonts w:ascii="Book Antiqua" w:hAnsi="Book Antiqua"/>
          <w:color w:val="000000"/>
          <w:sz w:val="24"/>
          <w:szCs w:val="24"/>
          <w:lang w:bidi="ru-RU"/>
        </w:rPr>
        <w:t>59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1203E" w:rsidRDefault="00D1203E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1203E" w:rsidRDefault="00D1203E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1203E" w:rsidRDefault="00D1203E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F149F" w:rsidRDefault="004F149F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75AB4" w:rsidRPr="002F02DC" w:rsidRDefault="00E75AB4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E75AB4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01.02.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4D625F">
        <w:rPr>
          <w:rFonts w:ascii="Book Antiqua" w:hAnsi="Book Antiqua" w:cs="Book Antiqua"/>
          <w:sz w:val="20"/>
          <w:szCs w:val="20"/>
        </w:rPr>
        <w:t>18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E75AB4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E75AB4" w:rsidRPr="00124D75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2 </w:t>
      </w:r>
    </w:p>
    <w:p w:rsidR="004D625F" w:rsidRPr="009274F3" w:rsidRDefault="004D625F" w:rsidP="004D625F">
      <w:pPr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222B38">
        <w:rPr>
          <w:rFonts w:ascii="Book Antiqua" w:hAnsi="Book Antiqua"/>
          <w:color w:val="000000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0833E6">
        <w:rPr>
          <w:rFonts w:ascii="Book Antiqua" w:hAnsi="Book Antiqua"/>
          <w:color w:val="000000"/>
        </w:rPr>
        <w:t>»</w:t>
      </w:r>
    </w:p>
    <w:p w:rsidR="004D625F" w:rsidRDefault="004D625F" w:rsidP="004D625F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4D625F" w:rsidRPr="001C5601" w:rsidRDefault="004D625F" w:rsidP="004D625F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4D625F" w:rsidRPr="001C5601" w:rsidRDefault="004D625F" w:rsidP="004D625F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709"/>
        <w:gridCol w:w="1559"/>
        <w:gridCol w:w="851"/>
        <w:gridCol w:w="709"/>
        <w:gridCol w:w="708"/>
        <w:gridCol w:w="709"/>
      </w:tblGrid>
      <w:tr w:rsidR="004D625F" w:rsidRPr="00010D53" w:rsidTr="00F72BEA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Сро</w:t>
            </w: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t>ки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010D53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4D625F" w:rsidRPr="00010D53" w:rsidTr="00F72BEA">
        <w:trPr>
          <w:cantSplit/>
          <w:tblHeader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2019</w:t>
            </w:r>
          </w:p>
        </w:tc>
      </w:tr>
      <w:tr w:rsidR="004D625F" w:rsidRPr="00010D53" w:rsidTr="00F72BEA">
        <w:trPr>
          <w:cantSplit/>
          <w:trHeight w:val="639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85pt"/>
                <w:rFonts w:ascii="Book Antiqua" w:hAnsi="Book Antiqua"/>
              </w:rPr>
              <w:t xml:space="preserve">Поддержание нормативной правовой базы в актуальном состоянии: разработка и принятие, своевременное внесение изменений и признание правовых актов </w:t>
            </w:r>
            <w:proofErr w:type="gramStart"/>
            <w:r w:rsidRPr="00010D53">
              <w:rPr>
                <w:rStyle w:val="285pt"/>
                <w:rFonts w:ascii="Book Antiqua" w:hAnsi="Book Antiqua"/>
              </w:rPr>
              <w:t>утратившими</w:t>
            </w:r>
            <w:proofErr w:type="gramEnd"/>
            <w:r w:rsidRPr="00010D53">
              <w:rPr>
                <w:rStyle w:val="285pt"/>
                <w:rFonts w:ascii="Book Antiqua" w:hAnsi="Book Antiqua"/>
              </w:rPr>
              <w:t xml:space="preserve"> силу в соответствии с законодательством о муниципальной службе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289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  <w:r w:rsidRPr="00010D53">
              <w:rPr>
                <w:rStyle w:val="285pt"/>
                <w:rFonts w:ascii="Book Antiqua" w:hAnsi="Book Antiqua"/>
              </w:rPr>
              <w:t>Проведение служебных расследований случаев нарушения норм служебного поведения (этики) муниципальных служащих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1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Выявление и разрешение конфликта интересов на муниципальной службе, 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Проведение служебных расследований случаев коррупционных проявлений со стороны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</w:t>
            </w: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010D53">
              <w:rPr>
                <w:rFonts w:ascii="Book Antiqua" w:hAnsi="Book Antiqua"/>
                <w:sz w:val="20"/>
                <w:szCs w:val="20"/>
              </w:rPr>
              <w:t>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508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Предоставление муниципальными служащими сведений о доходах, имуществе и обязательствах имущественного характера, а также о доходах, имуществе и обязательствах имущественного характера членов семьи (супруг</w:t>
            </w:r>
            <w:proofErr w:type="gramStart"/>
            <w:r w:rsidRPr="00010D53">
              <w:rPr>
                <w:rStyle w:val="210pt"/>
                <w:rFonts w:ascii="Book Antiqua" w:hAnsi="Book Antiqua"/>
              </w:rPr>
              <w:t>а(</w:t>
            </w:r>
            <w:proofErr w:type="gramEnd"/>
            <w:r w:rsidRPr="00010D53">
              <w:rPr>
                <w:rStyle w:val="210pt"/>
                <w:rFonts w:ascii="Book Antiqua" w:hAnsi="Book Antiqua"/>
              </w:rPr>
              <w:t>супруги) и несовершеннолетних детей)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87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1066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10pt"/>
                <w:rFonts w:ascii="Book Antiqua" w:hAnsi="Book Antiqua"/>
              </w:rPr>
              <w:t>Сбор, проверка и размещение на официальном сайте органов местного самоуправления сведений о доходах, имуществе и обязательствах имущественного характера муниципальных служащих включенных в Перечень, в установленные законодательством сроки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7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Анализ и обобщение информации по организации повышения квалификации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553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73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Формирование перспективного плана повышения квалификации муниципальных служащих и поддержание его в актуальном виде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 xml:space="preserve">Повышение квалификации муниципальных </w:t>
            </w: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lastRenderedPageBreak/>
              <w:t>служащих: 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>Оказание содействия студентам в прохождении практики, получающим профессиональное образование для поступления на муниципальную службу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53" w:type="dxa"/>
            <w:gridSpan w:val="4"/>
            <w:vMerge w:val="restart"/>
            <w:vAlign w:val="center"/>
          </w:tcPr>
          <w:p w:rsidR="004D625F" w:rsidRPr="0064062A" w:rsidRDefault="004D625F" w:rsidP="00F72BEA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1050</w:t>
            </w:r>
            <w:r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100</w:t>
            </w:r>
            <w:r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Местный</w:t>
            </w:r>
          </w:p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1050</w:t>
            </w:r>
            <w:r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100</w:t>
            </w:r>
            <w:r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64062A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64062A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E75AB4" w:rsidRDefault="00E75AB4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Pr="00C16B26" w:rsidRDefault="00CC059E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01.02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18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CC059E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59-МА «Об утверждении  муниципальной программы «Развитие муниципальной службы во внутригородском муниципальном образовании города Севастополя Качинский муниципальный округ на 2017-2019 годы»»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CC059E" w:rsidRPr="00C16B26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C16B26" w:rsidRDefault="00CC059E" w:rsidP="00CC059E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/>
    <w:p w:rsidR="00CC059E" w:rsidRDefault="00CC059E" w:rsidP="00CC059E">
      <w:pPr>
        <w:shd w:val="clear" w:color="auto" w:fill="FFFFFF"/>
      </w:pPr>
    </w:p>
    <w:sectPr w:rsidR="00CC059E" w:rsidSect="00743ED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EA" w:rsidRDefault="002805EA">
      <w:r>
        <w:separator/>
      </w:r>
    </w:p>
  </w:endnote>
  <w:endnote w:type="continuationSeparator" w:id="0">
    <w:p w:rsidR="002805EA" w:rsidRDefault="0028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EA" w:rsidRDefault="002805EA">
      <w:r>
        <w:separator/>
      </w:r>
    </w:p>
  </w:footnote>
  <w:footnote w:type="continuationSeparator" w:id="0">
    <w:p w:rsidR="002805EA" w:rsidRDefault="0028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56E08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5EA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149F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4F6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3ED4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03E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0D0E-C421-4B68-BB14-C8ED2F44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2017-06-02T11:25:00Z</cp:lastPrinted>
  <dcterms:created xsi:type="dcterms:W3CDTF">2017-02-10T07:23:00Z</dcterms:created>
  <dcterms:modified xsi:type="dcterms:W3CDTF">2017-06-02T11:25:00Z</dcterms:modified>
</cp:coreProperties>
</file>