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840517" w:rsidRDefault="006664A6" w:rsidP="00AB749C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noProof/>
          <w:sz w:val="32"/>
          <w:szCs w:val="32"/>
        </w:rPr>
        <w:drawing>
          <wp:inline distT="0" distB="0" distL="0" distR="0">
            <wp:extent cx="760730" cy="972820"/>
            <wp:effectExtent l="0" t="0" r="1270" b="0"/>
            <wp:docPr id="2" name="Рисунок 2" descr="C:\Users\Admin\AppData\Roaming\Mail.Ru\Agent\0001\content.cache\0e95c06e5729cfbeb131fe93a54751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Mail.Ru\Agent\0001\content.cache\0e95c06e5729cfbeb131fe93a54751c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№</w:t>
      </w:r>
      <w:r w:rsidR="00AB749C">
        <w:rPr>
          <w:rFonts w:ascii="Book Antiqua" w:hAnsi="Book Antiqua"/>
          <w:b/>
          <w:i/>
          <w:sz w:val="40"/>
          <w:szCs w:val="40"/>
        </w:rPr>
        <w:t>1</w:t>
      </w:r>
      <w:r w:rsidR="001E5B1C">
        <w:rPr>
          <w:rFonts w:ascii="Book Antiqua" w:hAnsi="Book Antiqua"/>
          <w:b/>
          <w:i/>
          <w:sz w:val="40"/>
          <w:szCs w:val="40"/>
        </w:rPr>
        <w:t>67</w:t>
      </w:r>
      <w:r w:rsidRPr="00D94ECD">
        <w:rPr>
          <w:rFonts w:ascii="Book Antiqua" w:hAnsi="Book Antiqua"/>
          <w:b/>
          <w:i/>
          <w:sz w:val="40"/>
          <w:szCs w:val="40"/>
        </w:rPr>
        <w:t xml:space="preserve"> 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1E5B1C" w:rsidP="001E5B1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 декабря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99515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C119E8" w:rsidP="00C119E8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 xml:space="preserve">  муниципальной программы «</w:t>
            </w:r>
            <w:r w:rsidR="001A4CB4" w:rsidRPr="001A4CB4">
              <w:rPr>
                <w:rFonts w:ascii="Book Antiqua" w:hAnsi="Book Antiqua"/>
                <w:b/>
                <w:sz w:val="24"/>
                <w:szCs w:val="24"/>
              </w:rPr>
              <w:t xml:space="preserve">Информационное общество </w:t>
            </w:r>
            <w:r w:rsidR="00AB749C" w:rsidRPr="00AB749C">
              <w:rPr>
                <w:rFonts w:ascii="Book Antiqua" w:hAnsi="Book Antiqua" w:cs="Arial"/>
                <w:b/>
              </w:rPr>
              <w:t>на 2018 год и плановый период 2019-2020 годов</w:t>
            </w:r>
            <w:r w:rsidR="000833E6" w:rsidRPr="00AB749C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, утвержденную Постановлением от 29.12.2017г. №115-МА и утверждении ее в новой редакции </w:t>
            </w:r>
          </w:p>
        </w:tc>
      </w:tr>
    </w:tbl>
    <w:p w:rsidR="008F19CB" w:rsidRPr="00DD6DC6" w:rsidRDefault="00AB749C" w:rsidP="008C3AD0">
      <w:pPr>
        <w:pStyle w:val="af3"/>
        <w:jc w:val="both"/>
        <w:rPr>
          <w:rFonts w:ascii="Book Antiqua" w:hAnsi="Book Antiqua"/>
          <w:b/>
          <w:bCs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</w:t>
      </w:r>
      <w:proofErr w:type="gramStart"/>
      <w:r w:rsidR="00C119E8">
        <w:rPr>
          <w:rFonts w:ascii="Book Antiqua" w:hAnsi="Book Antiqua"/>
          <w:color w:val="000000"/>
          <w:sz w:val="24"/>
          <w:szCs w:val="24"/>
          <w:lang w:bidi="ru-RU"/>
        </w:rPr>
        <w:t xml:space="preserve">В соответствии с Постановлением местной администрации Качинского муниципального округа </w:t>
      </w:r>
      <w:r w:rsidR="001E5B1C" w:rsidRPr="008004E0">
        <w:rPr>
          <w:rFonts w:ascii="Book Antiqua" w:hAnsi="Book Antiqua"/>
          <w:color w:val="000000"/>
          <w:sz w:val="24"/>
          <w:szCs w:val="24"/>
          <w:lang w:bidi="ru-RU"/>
        </w:rPr>
        <w:t>от 0</w:t>
      </w:r>
      <w:r w:rsidR="001E5B1C"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>3</w:t>
      </w:r>
      <w:r w:rsidR="001E5B1C" w:rsidRPr="008004E0">
        <w:rPr>
          <w:rFonts w:ascii="Book Antiqua" w:hAnsi="Book Antiqua"/>
          <w:color w:val="000000"/>
          <w:sz w:val="24"/>
          <w:szCs w:val="24"/>
          <w:lang w:bidi="ru-RU"/>
        </w:rPr>
        <w:t>.12.2018г. №1</w:t>
      </w:r>
      <w:r w:rsidR="001E5B1C"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>65</w:t>
      </w:r>
      <w:r w:rsidR="001E5B1C" w:rsidRPr="008004E0">
        <w:rPr>
          <w:rFonts w:ascii="Book Antiqua" w:hAnsi="Book Antiqua"/>
          <w:color w:val="000000"/>
          <w:sz w:val="24"/>
          <w:szCs w:val="24"/>
          <w:lang w:bidi="ru-RU"/>
        </w:rPr>
        <w:t>-МА</w:t>
      </w:r>
      <w:r w:rsidR="001E5B1C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1E5B1C" w:rsidRPr="008004E0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C119E8">
        <w:rPr>
          <w:rFonts w:ascii="Book Antiqua" w:hAnsi="Book Antiqua"/>
          <w:color w:val="000000"/>
          <w:sz w:val="24"/>
          <w:szCs w:val="24"/>
          <w:lang w:bidi="ru-RU"/>
        </w:rPr>
        <w:t>с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 целью приведения в соответствие с требованиями бюджетного законодательства Российской Федерации,</w:t>
      </w:r>
      <w:r w:rsidR="00D353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в </w:t>
      </w:r>
      <w:r w:rsidR="00D3539C" w:rsidRPr="00B05B9C">
        <w:rPr>
          <w:rFonts w:ascii="Book Antiqua" w:hAnsi="Book Antiqua"/>
          <w:color w:val="000000"/>
          <w:sz w:val="24"/>
          <w:szCs w:val="24"/>
          <w:lang w:bidi="ru-RU"/>
        </w:rPr>
        <w:t>соответствии с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о </w:t>
      </w:r>
      <w:r w:rsidR="00D353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 статьей 179 Бюджетного кодекса Российской Федерации,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D3539C" w:rsidRPr="00B05B9C">
        <w:rPr>
          <w:rFonts w:ascii="Book Antiqua" w:hAnsi="Book Antiqua"/>
          <w:color w:val="000000"/>
          <w:sz w:val="24"/>
          <w:szCs w:val="24"/>
          <w:lang w:bidi="ru-RU"/>
        </w:rPr>
        <w:t>Федеральным  законом от 06.10.2003 № 131-ФЗ «Об общих принципах организации местного самоуправления в Российской Федерации»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1A4CB4" w:rsidRPr="001A4CB4">
        <w:rPr>
          <w:rFonts w:ascii="Book Antiqua" w:hAnsi="Book Antiqua"/>
          <w:color w:val="000000"/>
          <w:sz w:val="24"/>
          <w:szCs w:val="24"/>
          <w:lang w:bidi="ru-RU"/>
        </w:rPr>
        <w:t>Федеральным законом от 09.02.2009  № 8-ФЗ «Об обеспечении доступа к информации о деятельности государственных</w:t>
      </w:r>
      <w:proofErr w:type="gramEnd"/>
      <w:r w:rsidR="001A4CB4" w:rsidRPr="001A4CB4">
        <w:rPr>
          <w:rFonts w:ascii="Book Antiqua" w:hAnsi="Book Antiqua"/>
          <w:color w:val="000000"/>
          <w:sz w:val="24"/>
          <w:szCs w:val="24"/>
          <w:lang w:bidi="ru-RU"/>
        </w:rPr>
        <w:t xml:space="preserve"> органов и органов местного самоуправления»</w:t>
      </w:r>
      <w:r w:rsidR="005865AE" w:rsidRPr="005865AE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 xml:space="preserve">Законом города Севастополя  от 30.12.2014 № 102-ЗС «О местном самоуправлении в городе Севастополе», </w:t>
      </w:r>
      <w:r w:rsidR="005865AE" w:rsidRPr="005865AE">
        <w:rPr>
          <w:rFonts w:ascii="Book Antiqua" w:hAnsi="Book Antiqua"/>
          <w:color w:val="000000"/>
          <w:sz w:val="24"/>
          <w:szCs w:val="24"/>
          <w:lang w:bidi="ru-RU"/>
        </w:rPr>
        <w:t xml:space="preserve">Решением Совета Качинского муниципального округа от 20.11.2015 № 14/106 «Об утверждении Положения об участии в противодействии </w:t>
      </w:r>
      <w:proofErr w:type="gramStart"/>
      <w:r w:rsidR="005865AE" w:rsidRPr="005865AE">
        <w:rPr>
          <w:rFonts w:ascii="Book Antiqua" w:hAnsi="Book Antiqua"/>
          <w:color w:val="000000"/>
          <w:sz w:val="24"/>
          <w:szCs w:val="24"/>
          <w:lang w:bidi="ru-RU"/>
        </w:rPr>
        <w:t xml:space="preserve">терроризму и профилактике  экстремизма на территории внутригородского муниципального образования города Севастополя Качинского муниципального округа», </w:t>
      </w:r>
      <w:r w:rsidR="00B05B9C" w:rsidRPr="00B05B9C">
        <w:rPr>
          <w:rFonts w:ascii="Book Antiqua" w:hAnsi="Book Antiqua"/>
          <w:color w:val="000000"/>
          <w:sz w:val="24"/>
          <w:szCs w:val="24"/>
          <w:lang w:bidi="ru-RU"/>
        </w:rPr>
        <w:t>Решением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округа», Уставом внутригородского муниципального образования города Севастополя Качинский муниципальный округ,</w:t>
      </w:r>
      <w:r w:rsidR="008C3AD0" w:rsidRPr="008C3AD0">
        <w:rPr>
          <w:rFonts w:ascii="Book Antiqua" w:hAnsi="Book Antiqua" w:cs="Book Antiqua"/>
          <w:sz w:val="24"/>
          <w:szCs w:val="24"/>
        </w:rPr>
        <w:t xml:space="preserve"> </w:t>
      </w:r>
      <w:r w:rsidR="008C3AD0" w:rsidRPr="001E4FFD">
        <w:rPr>
          <w:rFonts w:ascii="Book Antiqua" w:hAnsi="Book Antiqua" w:cs="Book Antiqua"/>
          <w:sz w:val="24"/>
          <w:szCs w:val="24"/>
        </w:rPr>
        <w:t xml:space="preserve">утвержденного </w:t>
      </w:r>
      <w:r w:rsidR="008C3AD0" w:rsidRPr="001E4FFD">
        <w:rPr>
          <w:rFonts w:ascii="Book Antiqua" w:hAnsi="Book Antiqua"/>
          <w:sz w:val="24"/>
          <w:szCs w:val="24"/>
        </w:rPr>
        <w:t>решением Совета Качинского муниципального округа от 19.03.2015 № 13</w:t>
      </w:r>
      <w:r w:rsidR="008C3AD0">
        <w:rPr>
          <w:rFonts w:ascii="Book Antiqua" w:hAnsi="Book Antiqua"/>
          <w:sz w:val="24"/>
          <w:szCs w:val="24"/>
        </w:rPr>
        <w:t>,</w:t>
      </w:r>
      <w:r w:rsidR="008F19CB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Положением о местной</w:t>
      </w:r>
      <w:proofErr w:type="gramEnd"/>
      <w:r w:rsidR="008F19CB" w:rsidRPr="00DD6DC6">
        <w:rPr>
          <w:rFonts w:ascii="Book Antiqua" w:hAnsi="Book Antiqua"/>
          <w:color w:val="000000"/>
          <w:sz w:val="24"/>
          <w:szCs w:val="24"/>
          <w:lang w:bidi="ru-RU"/>
        </w:rPr>
        <w:t xml:space="preserve">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71CBE" w:rsidRPr="007138FF" w:rsidRDefault="00A71CBE" w:rsidP="006664A6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7138FF">
        <w:rPr>
          <w:rFonts w:ascii="Book Antiqua" w:hAnsi="Book Antiqua" w:cs="Arial"/>
          <w:sz w:val="24"/>
          <w:szCs w:val="24"/>
        </w:rPr>
        <w:t xml:space="preserve">1. </w:t>
      </w:r>
      <w:r w:rsidR="00C119E8">
        <w:rPr>
          <w:rFonts w:ascii="Book Antiqua" w:hAnsi="Book Antiqua" w:cs="Arial"/>
          <w:sz w:val="24"/>
          <w:szCs w:val="24"/>
        </w:rPr>
        <w:t>Внести изменения в</w:t>
      </w:r>
      <w:r w:rsidR="00C119E8" w:rsidRPr="00617A9D">
        <w:rPr>
          <w:rFonts w:ascii="Book Antiqua" w:hAnsi="Book Antiqua" w:cs="Arial"/>
          <w:sz w:val="24"/>
          <w:szCs w:val="24"/>
        </w:rPr>
        <w:t xml:space="preserve"> </w:t>
      </w:r>
      <w:r w:rsidR="00C119E8">
        <w:rPr>
          <w:rFonts w:ascii="Book Antiqua" w:hAnsi="Book Antiqua" w:cs="Arial"/>
          <w:sz w:val="24"/>
          <w:szCs w:val="24"/>
        </w:rPr>
        <w:t xml:space="preserve">муниципальную программу </w:t>
      </w:r>
      <w:r w:rsidR="000833E6">
        <w:rPr>
          <w:rFonts w:ascii="Book Antiqua" w:hAnsi="Book Antiqua" w:cs="Arial"/>
          <w:sz w:val="24"/>
          <w:szCs w:val="24"/>
        </w:rPr>
        <w:t>«</w:t>
      </w:r>
      <w:r w:rsidR="001A4CB4" w:rsidRPr="003011E1">
        <w:rPr>
          <w:rFonts w:ascii="Book Antiqua" w:hAnsi="Book Antiqua" w:cs="Arial"/>
          <w:sz w:val="24"/>
          <w:szCs w:val="24"/>
        </w:rPr>
        <w:t>Информационное общество на</w:t>
      </w:r>
      <w:r w:rsidR="00AB749C">
        <w:rPr>
          <w:rFonts w:ascii="Book Antiqua" w:hAnsi="Book Antiqua" w:cs="Arial"/>
        </w:rPr>
        <w:t xml:space="preserve"> 2018 год и плановый период 2019-2020 годов</w:t>
      </w:r>
      <w:r w:rsidR="000833E6">
        <w:rPr>
          <w:rFonts w:ascii="Book Antiqua" w:hAnsi="Book Antiqua" w:cs="Arial"/>
          <w:sz w:val="24"/>
          <w:szCs w:val="24"/>
        </w:rPr>
        <w:t>»</w:t>
      </w:r>
      <w:r w:rsidR="00C119E8">
        <w:rPr>
          <w:rFonts w:ascii="Book Antiqua" w:hAnsi="Book Antiqua" w:cs="Arial"/>
          <w:sz w:val="24"/>
          <w:szCs w:val="24"/>
        </w:rPr>
        <w:t xml:space="preserve"> и утвердить ее в новой редакции</w:t>
      </w:r>
      <w:r w:rsidR="000833E6" w:rsidRPr="007138FF">
        <w:rPr>
          <w:rFonts w:ascii="Book Antiqua" w:hAnsi="Book Antiqua" w:cs="Arial"/>
          <w:sz w:val="24"/>
          <w:szCs w:val="24"/>
        </w:rPr>
        <w:t xml:space="preserve"> </w:t>
      </w:r>
      <w:r w:rsidR="00E86DDB" w:rsidRPr="007138FF">
        <w:rPr>
          <w:rFonts w:ascii="Book Antiqua" w:hAnsi="Book Antiqua" w:cs="Arial"/>
          <w:sz w:val="24"/>
          <w:szCs w:val="24"/>
        </w:rPr>
        <w:t>(</w:t>
      </w:r>
      <w:r w:rsidR="00E86DDB" w:rsidRPr="007138FF">
        <w:rPr>
          <w:rFonts w:ascii="Book Antiqua" w:hAnsi="Book Antiqua" w:cs="Arial"/>
          <w:caps/>
          <w:sz w:val="24"/>
          <w:szCs w:val="24"/>
        </w:rPr>
        <w:t>Приложение</w:t>
      </w:r>
      <w:r w:rsidR="00E86DDB" w:rsidRPr="007138FF">
        <w:rPr>
          <w:rFonts w:ascii="Book Antiqua" w:hAnsi="Book Antiqua" w:cs="Arial"/>
          <w:sz w:val="24"/>
          <w:szCs w:val="24"/>
        </w:rPr>
        <w:t>).</w:t>
      </w:r>
    </w:p>
    <w:p w:rsidR="003D4FA6" w:rsidRDefault="003D4FA6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AB749C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604725" w:rsidRDefault="00604725" w:rsidP="00604725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3539C" w:rsidRPr="00AE6469" w:rsidRDefault="00C119E8" w:rsidP="00D3539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Настоящее 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AB749C">
        <w:rPr>
          <w:rFonts w:ascii="Book Antiqua" w:hAnsi="Book Antiqua"/>
          <w:color w:val="000000"/>
          <w:sz w:val="24"/>
          <w:szCs w:val="24"/>
          <w:lang w:bidi="ru-RU"/>
        </w:rPr>
        <w:t>вступает в силу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 с 01 января 201</w:t>
      </w:r>
      <w:r>
        <w:rPr>
          <w:rFonts w:ascii="Book Antiqua" w:hAnsi="Book Antiqua"/>
          <w:color w:val="000000"/>
          <w:sz w:val="24"/>
          <w:szCs w:val="24"/>
          <w:lang w:bidi="ru-RU"/>
        </w:rPr>
        <w:t>9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 xml:space="preserve"> года</w:t>
      </w:r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D3539C" w:rsidRDefault="00D3539C" w:rsidP="00D3539C">
      <w:pPr>
        <w:pStyle w:val="23"/>
        <w:shd w:val="clear" w:color="auto" w:fill="auto"/>
        <w:tabs>
          <w:tab w:val="left" w:pos="1606"/>
        </w:tabs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p w:rsidR="00E86DDB" w:rsidRDefault="00C119E8" w:rsidP="00D3539C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D3539C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D3539C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3D4FA6" w:rsidRDefault="003D4FA6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6664A6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6664A6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6664A6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5865AE" w:rsidRDefault="005865AE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2654A" w:rsidRPr="002F02DC" w:rsidRDefault="00A2654A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BF5F90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 w:rsidR="00BF5F90"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</w:p>
    <w:p w:rsidR="00A2654A" w:rsidRPr="00C54076" w:rsidRDefault="00BF5F90" w:rsidP="00BF5F90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="00A2654A"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A2654A" w:rsidRPr="00C54076" w:rsidRDefault="00A2654A" w:rsidP="00BF5F90">
      <w:pPr>
        <w:ind w:left="5670"/>
        <w:rPr>
          <w:rFonts w:ascii="Book Antiqua" w:hAnsi="Book Antiqua" w:cs="Book Antiqua"/>
          <w:sz w:val="20"/>
          <w:szCs w:val="20"/>
        </w:rPr>
      </w:pPr>
      <w:r w:rsidRPr="00EF5037">
        <w:rPr>
          <w:rFonts w:ascii="Book Antiqua" w:hAnsi="Book Antiqua" w:cs="Book Antiqua"/>
          <w:sz w:val="20"/>
          <w:szCs w:val="20"/>
        </w:rPr>
        <w:t>от</w:t>
      </w:r>
      <w:r w:rsidR="008C3AD0" w:rsidRPr="00EF5037">
        <w:rPr>
          <w:rFonts w:ascii="Book Antiqua" w:hAnsi="Book Antiqua" w:cs="Book Antiqua"/>
          <w:sz w:val="20"/>
          <w:szCs w:val="20"/>
        </w:rPr>
        <w:t xml:space="preserve"> </w:t>
      </w:r>
      <w:r w:rsidR="00C119E8" w:rsidRPr="00EF5037">
        <w:rPr>
          <w:rFonts w:ascii="Book Antiqua" w:hAnsi="Book Antiqua" w:cs="Book Antiqua"/>
          <w:sz w:val="20"/>
          <w:szCs w:val="20"/>
        </w:rPr>
        <w:t>0</w:t>
      </w:r>
      <w:r w:rsidR="00EF5037" w:rsidRPr="00EF5037">
        <w:rPr>
          <w:rFonts w:ascii="Book Antiqua" w:hAnsi="Book Antiqua" w:cs="Book Antiqua"/>
          <w:sz w:val="20"/>
          <w:szCs w:val="20"/>
        </w:rPr>
        <w:t>3</w:t>
      </w:r>
      <w:r w:rsidR="008C3AD0" w:rsidRPr="00EF5037">
        <w:rPr>
          <w:rFonts w:ascii="Book Antiqua" w:hAnsi="Book Antiqua" w:cs="Book Antiqua"/>
          <w:sz w:val="20"/>
          <w:szCs w:val="20"/>
        </w:rPr>
        <w:t>.12</w:t>
      </w:r>
      <w:r w:rsidR="00A61C6F" w:rsidRPr="00EF5037">
        <w:rPr>
          <w:rFonts w:ascii="Book Antiqua" w:hAnsi="Book Antiqua" w:cs="Book Antiqua"/>
          <w:sz w:val="20"/>
          <w:szCs w:val="20"/>
        </w:rPr>
        <w:t>.</w:t>
      </w:r>
      <w:r w:rsidRPr="00EF5037">
        <w:rPr>
          <w:rFonts w:ascii="Book Antiqua" w:hAnsi="Book Antiqua" w:cs="Book Antiqua"/>
          <w:sz w:val="20"/>
          <w:szCs w:val="20"/>
        </w:rPr>
        <w:t>201</w:t>
      </w:r>
      <w:r w:rsidR="00C119E8" w:rsidRPr="00EF5037">
        <w:rPr>
          <w:rFonts w:ascii="Book Antiqua" w:hAnsi="Book Antiqua" w:cs="Book Antiqua"/>
          <w:sz w:val="20"/>
          <w:szCs w:val="20"/>
        </w:rPr>
        <w:t>8</w:t>
      </w:r>
      <w:r w:rsidRPr="00EF5037">
        <w:rPr>
          <w:rFonts w:ascii="Book Antiqua" w:hAnsi="Book Antiqua" w:cs="Book Antiqua"/>
          <w:sz w:val="20"/>
          <w:szCs w:val="20"/>
        </w:rPr>
        <w:t xml:space="preserve"> № </w:t>
      </w:r>
      <w:r w:rsidR="00AB749C" w:rsidRPr="00EF5037">
        <w:rPr>
          <w:rFonts w:ascii="Book Antiqua" w:hAnsi="Book Antiqua" w:cs="Book Antiqua"/>
          <w:sz w:val="20"/>
          <w:szCs w:val="20"/>
        </w:rPr>
        <w:t>1</w:t>
      </w:r>
      <w:r w:rsidR="00117230">
        <w:rPr>
          <w:rFonts w:ascii="Book Antiqua" w:hAnsi="Book Antiqua" w:cs="Book Antiqua"/>
          <w:sz w:val="20"/>
          <w:szCs w:val="20"/>
        </w:rPr>
        <w:t>67</w:t>
      </w:r>
      <w:r w:rsidR="00A61C6F" w:rsidRPr="00EF5037">
        <w:rPr>
          <w:rFonts w:ascii="Book Antiqua" w:hAnsi="Book Antiqua" w:cs="Book Antiqua"/>
          <w:sz w:val="20"/>
          <w:szCs w:val="20"/>
        </w:rPr>
        <w:t>-МА</w:t>
      </w:r>
    </w:p>
    <w:p w:rsidR="00A2654A" w:rsidRPr="00C54076" w:rsidRDefault="00A2654A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  <w:bookmarkStart w:id="0" w:name="Par34"/>
      <w:bookmarkEnd w:id="0"/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</w:p>
    <w:p w:rsidR="000833E6" w:rsidRPr="001C5601" w:rsidRDefault="000833E6" w:rsidP="000833E6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0833E6" w:rsidRDefault="000833E6" w:rsidP="000833E6">
      <w:pPr>
        <w:jc w:val="center"/>
        <w:rPr>
          <w:rFonts w:ascii="Book Antiqua" w:hAnsi="Book Antiqua"/>
          <w:b/>
          <w:sz w:val="56"/>
          <w:szCs w:val="56"/>
        </w:rPr>
      </w:pP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t xml:space="preserve">«Информационное общество» </w:t>
      </w: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Pr="003011E1" w:rsidRDefault="001A4CB4" w:rsidP="001A4CB4">
      <w:pPr>
        <w:jc w:val="center"/>
        <w:rPr>
          <w:rFonts w:ascii="Book Antiqua" w:hAnsi="Book Antiqua"/>
        </w:rPr>
      </w:pPr>
    </w:p>
    <w:p w:rsidR="001A4CB4" w:rsidRDefault="001A4CB4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AB749C" w:rsidRDefault="00AB749C" w:rsidP="001A4CB4">
      <w:pPr>
        <w:jc w:val="center"/>
        <w:rPr>
          <w:rFonts w:ascii="Book Antiqua" w:hAnsi="Book Antiqua"/>
        </w:rPr>
      </w:pPr>
    </w:p>
    <w:p w:rsidR="00E95050" w:rsidRDefault="00E95050" w:rsidP="001A4CB4">
      <w:pPr>
        <w:jc w:val="center"/>
        <w:rPr>
          <w:rFonts w:ascii="Book Antiqua" w:hAnsi="Book Antiqua"/>
        </w:rPr>
      </w:pPr>
    </w:p>
    <w:p w:rsidR="00E95050" w:rsidRPr="003011E1" w:rsidRDefault="00E95050" w:rsidP="001A4CB4">
      <w:pPr>
        <w:jc w:val="center"/>
        <w:rPr>
          <w:rFonts w:ascii="Book Antiqua" w:hAnsi="Book Antiqua"/>
        </w:rPr>
      </w:pPr>
    </w:p>
    <w:p w:rsidR="00E95050" w:rsidRDefault="00E95050" w:rsidP="001A4CB4">
      <w:pPr>
        <w:jc w:val="center"/>
        <w:rPr>
          <w:rFonts w:ascii="Book Antiqua" w:hAnsi="Book Antiqua"/>
        </w:rPr>
      </w:pPr>
    </w:p>
    <w:p w:rsidR="001A4CB4" w:rsidRPr="003011E1" w:rsidRDefault="00E95050" w:rsidP="001A4CB4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п</w:t>
      </w:r>
      <w:r w:rsidR="001A4CB4" w:rsidRPr="003011E1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Кача</w:t>
      </w:r>
    </w:p>
    <w:p w:rsidR="00117230" w:rsidRDefault="001A4CB4" w:rsidP="00E95050">
      <w:pPr>
        <w:jc w:val="center"/>
        <w:rPr>
          <w:rFonts w:ascii="Book Antiqua" w:hAnsi="Book Antiqua"/>
        </w:rPr>
      </w:pPr>
      <w:r w:rsidRPr="003011E1">
        <w:rPr>
          <w:rFonts w:ascii="Book Antiqua" w:hAnsi="Book Antiqua"/>
        </w:rPr>
        <w:t>201</w:t>
      </w:r>
      <w:r w:rsidR="00C119E8">
        <w:rPr>
          <w:rFonts w:ascii="Book Antiqua" w:hAnsi="Book Antiqua"/>
        </w:rPr>
        <w:t>8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lastRenderedPageBreak/>
        <w:t>ПАСПОРТ</w:t>
      </w:r>
    </w:p>
    <w:p w:rsidR="001A4CB4" w:rsidRPr="003011E1" w:rsidRDefault="001A4CB4" w:rsidP="001A4CB4">
      <w:pPr>
        <w:jc w:val="center"/>
        <w:rPr>
          <w:rFonts w:ascii="Book Antiqua" w:hAnsi="Book Antiqua"/>
          <w:b/>
          <w:sz w:val="28"/>
          <w:szCs w:val="28"/>
        </w:rPr>
      </w:pPr>
      <w:r w:rsidRPr="003011E1">
        <w:rPr>
          <w:rFonts w:ascii="Book Antiqua" w:hAnsi="Book Antiqua"/>
          <w:b/>
          <w:sz w:val="28"/>
          <w:szCs w:val="28"/>
        </w:rPr>
        <w:t xml:space="preserve">муниципальной программы «Информационное общество </w:t>
      </w:r>
    </w:p>
    <w:p w:rsidR="001A4CB4" w:rsidRPr="003011E1" w:rsidRDefault="001A4CB4" w:rsidP="00E95050">
      <w:pPr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1A4CB4" w:rsidRPr="003011E1" w:rsidTr="00D3539C">
        <w:trPr>
          <w:cantSplit/>
          <w:trHeight w:val="400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1A4CB4" w:rsidRPr="003011E1" w:rsidRDefault="001A4CB4" w:rsidP="001A4CB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Местная администрация  Качинского муниципального округа </w:t>
            </w:r>
          </w:p>
          <w:p w:rsidR="001A4CB4" w:rsidRPr="003011E1" w:rsidRDefault="001A4CB4" w:rsidP="001A4CB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Совет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Своевременное, полное и достоверное информирование населения о деятельности </w:t>
            </w:r>
            <w:proofErr w:type="gramStart"/>
            <w:r w:rsidRPr="003011E1">
              <w:rPr>
                <w:rFonts w:ascii="Book Antiqua" w:hAnsi="Book Antiqua"/>
              </w:rPr>
              <w:t>органов местного самоуправления внутригородского муниципального образования  города Севастополя</w:t>
            </w:r>
            <w:proofErr w:type="gramEnd"/>
            <w:r w:rsidRPr="003011E1">
              <w:rPr>
                <w:rFonts w:ascii="Book Antiqua" w:hAnsi="Book Antiqua"/>
              </w:rPr>
              <w:t xml:space="preserve"> Качинский муниципальный округ, взаимодействие населения с органами местного самоуправления Качинского муниципального округа</w:t>
            </w:r>
          </w:p>
        </w:tc>
      </w:tr>
      <w:tr w:rsidR="001A4CB4" w:rsidRPr="003011E1" w:rsidTr="00D3539C">
        <w:trPr>
          <w:cantSplit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– Обеспечение  требований  законодательства 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Российской Федерации по своевременному опубликованию в средствах массовой информации и размещению на официальном сайте муниципального образования в сети Интернет официальных документов, издаваемых органами местного самоуправления и иной официальной информации;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Организация сотрудничества со средствами массовой информации городского уровня для доведения до сведения населения оперативной и достоверной информации о деятельности местной администрации, Совета Качинского муниципального округа по реализации полномочий местного самоуправления на территории муниципального образования;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Установление обратной связи с населением округа, изучение общественного мнения о деятельности органов местного самоуправления;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Реализация принципов гласности и открытости в деятельности органов местного самоуправления Качинского муниципального округа.</w:t>
            </w:r>
          </w:p>
        </w:tc>
      </w:tr>
      <w:tr w:rsidR="001A4CB4" w:rsidRPr="003011E1" w:rsidTr="00D3539C">
        <w:trPr>
          <w:cantSplit/>
          <w:trHeight w:val="400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1A4CB4" w:rsidRPr="003011E1" w:rsidRDefault="001A4CB4" w:rsidP="00C119E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Срок реализации 201</w:t>
            </w:r>
            <w:r w:rsidR="00C119E8">
              <w:rPr>
                <w:rFonts w:ascii="Book Antiqua" w:hAnsi="Book Antiqua"/>
              </w:rPr>
              <w:t>9</w:t>
            </w:r>
            <w:r w:rsidRPr="003011E1">
              <w:rPr>
                <w:rFonts w:ascii="Book Antiqua" w:hAnsi="Book Antiqua"/>
              </w:rPr>
              <w:t xml:space="preserve"> – 20</w:t>
            </w:r>
            <w:r w:rsidR="008C3AD0">
              <w:rPr>
                <w:rFonts w:ascii="Book Antiqua" w:hAnsi="Book Antiqua"/>
              </w:rPr>
              <w:t>2</w:t>
            </w:r>
            <w:r w:rsidR="00C119E8">
              <w:rPr>
                <w:rFonts w:ascii="Book Antiqua" w:hAnsi="Book Antiqua"/>
              </w:rPr>
              <w:t>1</w:t>
            </w:r>
            <w:r w:rsidRPr="003011E1">
              <w:rPr>
                <w:rFonts w:ascii="Book Antiqua" w:hAnsi="Book Antiqua"/>
              </w:rPr>
              <w:t xml:space="preserve"> годы</w:t>
            </w:r>
          </w:p>
        </w:tc>
      </w:tr>
      <w:tr w:rsidR="001A4CB4" w:rsidRPr="003011E1" w:rsidTr="00D3539C">
        <w:trPr>
          <w:cantSplit/>
          <w:trHeight w:val="1715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3011E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3011E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 w:rsidR="00C119E8">
              <w:rPr>
                <w:rFonts w:ascii="Book Antiqua" w:hAnsi="Book Antiqua"/>
              </w:rPr>
              <w:t>9</w:t>
            </w:r>
            <w:r w:rsidRPr="003011E1">
              <w:rPr>
                <w:rFonts w:ascii="Book Antiqua" w:hAnsi="Book Antiqua"/>
              </w:rPr>
              <w:t xml:space="preserve"> год –  </w:t>
            </w:r>
            <w:r w:rsidR="008C3AD0">
              <w:rPr>
                <w:rFonts w:ascii="Book Antiqua" w:hAnsi="Book Antiqua"/>
              </w:rPr>
              <w:t>5</w:t>
            </w:r>
            <w:r w:rsidR="00C119E8">
              <w:rPr>
                <w:rFonts w:ascii="Book Antiqua" w:hAnsi="Book Antiqua"/>
              </w:rPr>
              <w:t>5</w:t>
            </w:r>
            <w:r w:rsidRPr="00D3539C">
              <w:rPr>
                <w:rFonts w:ascii="Book Antiqua" w:hAnsi="Book Antiqua"/>
              </w:rPr>
              <w:t xml:space="preserve">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  <w:p w:rsidR="001A4CB4" w:rsidRPr="003011E1" w:rsidRDefault="001A4CB4" w:rsidP="00DB39C0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</w:t>
            </w:r>
            <w:r w:rsidR="00C119E8">
              <w:rPr>
                <w:rFonts w:ascii="Book Antiqua" w:hAnsi="Book Antiqua"/>
              </w:rPr>
              <w:t>20</w:t>
            </w:r>
            <w:r w:rsidRPr="003011E1">
              <w:rPr>
                <w:rFonts w:ascii="Book Antiqua" w:hAnsi="Book Antiqua"/>
              </w:rPr>
              <w:t xml:space="preserve"> год –  </w:t>
            </w:r>
            <w:r w:rsidR="00FA2EB5">
              <w:rPr>
                <w:rFonts w:ascii="Book Antiqua" w:hAnsi="Book Antiqua"/>
              </w:rPr>
              <w:t>0</w:t>
            </w:r>
            <w:r w:rsidRPr="00D3539C">
              <w:rPr>
                <w:rFonts w:ascii="Book Antiqua" w:hAnsi="Book Antiqua"/>
              </w:rPr>
              <w:t xml:space="preserve">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  <w:p w:rsidR="001A4CB4" w:rsidRPr="003011E1" w:rsidRDefault="001A4CB4" w:rsidP="00C119E8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</w:t>
            </w:r>
            <w:r w:rsidR="008C3AD0">
              <w:rPr>
                <w:rFonts w:ascii="Book Antiqua" w:hAnsi="Book Antiqua"/>
              </w:rPr>
              <w:t>2</w:t>
            </w:r>
            <w:r w:rsidR="00C119E8">
              <w:rPr>
                <w:rFonts w:ascii="Book Antiqua" w:hAnsi="Book Antiqua"/>
              </w:rPr>
              <w:t>1</w:t>
            </w:r>
            <w:r w:rsidRPr="003011E1">
              <w:rPr>
                <w:rFonts w:ascii="Book Antiqua" w:hAnsi="Book Antiqua"/>
              </w:rPr>
              <w:t xml:space="preserve">год –  </w:t>
            </w:r>
            <w:r w:rsidR="00FA2EB5">
              <w:rPr>
                <w:rFonts w:ascii="Book Antiqua" w:hAnsi="Book Antiqua"/>
              </w:rPr>
              <w:t>0</w:t>
            </w:r>
            <w:r w:rsidRPr="00D3539C">
              <w:rPr>
                <w:rFonts w:ascii="Book Antiqua" w:hAnsi="Book Antiqua"/>
              </w:rPr>
              <w:t xml:space="preserve">,0 </w:t>
            </w:r>
            <w:proofErr w:type="spellStart"/>
            <w:r w:rsidRPr="00D3539C">
              <w:rPr>
                <w:rFonts w:ascii="Book Antiqua" w:hAnsi="Book Antiqua"/>
              </w:rPr>
              <w:t>тыс</w:t>
            </w:r>
            <w:proofErr w:type="gramStart"/>
            <w:r w:rsidRPr="00D3539C">
              <w:rPr>
                <w:rFonts w:ascii="Book Antiqua" w:hAnsi="Book Antiqua"/>
              </w:rPr>
              <w:t>.р</w:t>
            </w:r>
            <w:proofErr w:type="gramEnd"/>
            <w:r w:rsidRPr="00D3539C">
              <w:rPr>
                <w:rFonts w:ascii="Book Antiqua" w:hAnsi="Book Antiqua"/>
              </w:rPr>
              <w:t>уб</w:t>
            </w:r>
            <w:proofErr w:type="spellEnd"/>
            <w:r w:rsidRPr="00D3539C">
              <w:rPr>
                <w:rFonts w:ascii="Book Antiqua" w:hAnsi="Book Antiqua"/>
              </w:rPr>
              <w:t>.</w:t>
            </w:r>
          </w:p>
        </w:tc>
      </w:tr>
      <w:tr w:rsidR="001A4CB4" w:rsidRPr="003011E1" w:rsidTr="00D3539C">
        <w:trPr>
          <w:cantSplit/>
          <w:trHeight w:val="709"/>
          <w:tblCellSpacing w:w="5" w:type="nil"/>
        </w:trPr>
        <w:tc>
          <w:tcPr>
            <w:tcW w:w="3403" w:type="dxa"/>
          </w:tcPr>
          <w:p w:rsidR="001A4CB4" w:rsidRPr="003011E1" w:rsidRDefault="001A4CB4" w:rsidP="001A4CB4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3011E1">
              <w:rPr>
                <w:rFonts w:ascii="Book Antiqua" w:hAnsi="Book Antiqua"/>
                <w:sz w:val="24"/>
                <w:szCs w:val="24"/>
              </w:rPr>
              <w:lastRenderedPageBreak/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Привлечение общественного интереса к деятельности органов местного самоуправления округа и укрепление атмосферы доверия к ним граждан;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Улучшение координации и взаимодействия граждан, органов местного самоуправления и средств массовой информации по вопросам местного значения;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Принятие управленческих решений с учетом общественного мнения жителей округа;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– Обеспечение бесперебойного функционирования и своевременной актуализации официального сайта Качинского муниципального округа.</w:t>
            </w:r>
          </w:p>
        </w:tc>
      </w:tr>
    </w:tbl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1. 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1A4CB4" w:rsidRPr="003011E1" w:rsidRDefault="001A4CB4" w:rsidP="001A4CB4">
      <w:pPr>
        <w:shd w:val="clear" w:color="auto" w:fill="FFFFFF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Муниципальная целевая программа внутригородского муниципального образования города Севастополя Качинский муниципальный округ «Информационное общество» (далее - Программа) разработана местной администрацией Качинского муниципального округа в соответствии со следующими нормативными документами:</w:t>
      </w:r>
    </w:p>
    <w:p w:rsidR="001A4CB4" w:rsidRPr="003011E1" w:rsidRDefault="001A4CB4" w:rsidP="001A4CB4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- Федеральный закон от 09.02.2009  № 8-ФЗ «Об обеспечении доступа к информации о деятельности государственных органов и органов местного самоуправления»;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Устав внутригородского муниципального образования города Севастополя Качинский муниципальный округ</w:t>
      </w:r>
      <w:r w:rsidRPr="003011E1">
        <w:rPr>
          <w:rFonts w:ascii="Book Antiqua" w:hAnsi="Book Antiqua"/>
          <w:color w:val="000000"/>
        </w:rPr>
        <w:t>;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/>
          <w:color w:val="000000"/>
        </w:rPr>
        <w:t xml:space="preserve">- </w:t>
      </w:r>
      <w:r w:rsidRPr="003011E1">
        <w:rPr>
          <w:rFonts w:ascii="Book Antiqua" w:hAnsi="Book Antiqua" w:cs="Arial"/>
        </w:rPr>
        <w:t>Решение Совета Качинского муниципального округа от 11.09.2015 № 10/71 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округа».</w:t>
      </w: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Осуществление информационной стратегии органов местного самоуправления несет на себе социальную функцию – оперативное информирование населения о своей деятельности для удовлетворения его информационных потребностей, обеспечения конструктивного взаимодействия населения с органами местного самоуправления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мероприятий Программы позволит в полном объеме обеспечить информирование населения Качинского муниципального округа  о деятельности Совета, Главы, местной администрации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На сегодняшний день актуальными остаются задачи по улучшению взаимодействия населения с органами местного самоуправления и средствами массовой информации по вопросам местного значения, повышение открытости и гласности работы этих органов; установлению обратной связи с населением; координации работы в определении приоритетных тем для освещения </w:t>
      </w:r>
      <w:r w:rsidRPr="003011E1">
        <w:rPr>
          <w:rFonts w:ascii="Book Antiqua" w:hAnsi="Book Antiqua" w:cs="Arial"/>
        </w:rPr>
        <w:lastRenderedPageBreak/>
        <w:t>деятельности органов местного самоуправления в средствах массовой информации; предоставлению информации, справочных материалов по социальным и интересующим граждан вопросам; обобщению опыта по информированию. Также остается необходимость в нормативном регулировании информационного освещения деятельности органов местного самоуправления, что достигается за счет разработки данной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 xml:space="preserve">2. Приоритеты муниципальной политики в сфере реализации Программы, цели, задачи и описание конечных результатов Программы </w:t>
      </w:r>
    </w:p>
    <w:p w:rsidR="001A4CB4" w:rsidRPr="003011E1" w:rsidRDefault="001A4CB4" w:rsidP="001A4CB4">
      <w:pPr>
        <w:shd w:val="clear" w:color="auto" w:fill="FFFFFF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 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Основная цель Программы – обеспечение своевременного и достоверного информирования населения Качинского муниципального округа по вопросам полномочий органов местного самоуправления округа через средства массовой информации, сеть Интернет, а также информационные стенды.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При реализации Программы необходимо решение следующих задач: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1. Обеспечение реализации требований законодательства Российской Федерации по своевременному опубликованию правовых актов органов местного самоуправления для вступления их в законную силу.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2. Обеспечение своевременного опубликования в средствах массовой информации официальных документов, а также обеспечение размещения в соответствии с требованиями </w:t>
      </w:r>
      <w:proofErr w:type="gramStart"/>
      <w:r w:rsidRPr="003011E1">
        <w:rPr>
          <w:rFonts w:ascii="Book Antiqua" w:hAnsi="Book Antiqua" w:cs="Arial"/>
        </w:rPr>
        <w:t>законодательства Российской Федерации официальных документов органов местного самоуправления</w:t>
      </w:r>
      <w:proofErr w:type="gramEnd"/>
      <w:r w:rsidRPr="003011E1">
        <w:rPr>
          <w:rFonts w:ascii="Book Antiqua" w:hAnsi="Book Antiqua" w:cs="Arial"/>
        </w:rPr>
        <w:t xml:space="preserve"> на официальном сайте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3. Обеспечение своевременного опубликования текстов проектов муниципальных правовых актов, внесенных в Совет Качинского муниципального округа.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4. Повышение информационной открытости органов местного самоуправления для обеспечения продуктивного диалога с местным сообществом.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5. Формирование системы взаимодействия со средствами массовой информации для широкого использования потенциала средств массовой информации в реализации муниципальных социально значимых проектов и программ. </w:t>
      </w:r>
      <w:proofErr w:type="gramStart"/>
      <w:r w:rsidRPr="003011E1">
        <w:rPr>
          <w:rFonts w:ascii="Book Antiqua" w:hAnsi="Book Antiqua" w:cs="Arial"/>
        </w:rPr>
        <w:t>Организация сотрудничества со средствами массовой информации для доведения до сведения населения оперативной и достоверной информации о важнейших общественно-политических, социально-культурных событиях, деятельности Совета и местной администрации Качинского муниципального округа, состоянии экономики, экологии и других сфер общественной жизни округа, вопросам прав, свобод и обязанностей граждан, их безопасности и другим вопросам, представляющим общественный интерес.</w:t>
      </w:r>
      <w:proofErr w:type="gramEnd"/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6. Реализация целенаправленной информационной политики органов местного самоуправления в Качинском муниципальном округе в целях более широкого освещения их деятельности, объективного, полного и своевременного разъяснения политики, пропаганды достижений в экономике округа, укрепления общественных связей и формирования позитивного общественного мнения жителей округа.</w:t>
      </w:r>
    </w:p>
    <w:p w:rsidR="001A4CB4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17230" w:rsidRDefault="00117230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17230" w:rsidRPr="003011E1" w:rsidRDefault="00117230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lastRenderedPageBreak/>
        <w:t>3. Обоснование объема финансовых ресурсов, необходимых для реализации Программы.</w:t>
      </w: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Главный распорядитель бюджетных средств по реализации мероприятий Программы – местная администрация Качинского муниципального округа (далее МА Качинского МО).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Ответственным исполнителем Программы является общий отдел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Расчёт финансового обеспечения мероприятий Программы осуществляется с учётом изменений прогнозной численности населения, вовлекаемого в мероприятия, проводимы в соответствии с Программой.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Финансирование Программы проводится за счёт средств местного бюджета.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Качинского муниципального округа».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Перечень основных мероприятий Программы и ресурсное обеспечение Программы приведено в Приложении 2 к Программе. Возможно перераспределение финансовых сре</w:t>
      </w:r>
      <w:proofErr w:type="gramStart"/>
      <w:r w:rsidRPr="003011E1">
        <w:rPr>
          <w:rFonts w:ascii="Book Antiqua" w:hAnsi="Book Antiqua" w:cs="Arial"/>
        </w:rPr>
        <w:t>дств в р</w:t>
      </w:r>
      <w:proofErr w:type="gramEnd"/>
      <w:r w:rsidRPr="003011E1">
        <w:rPr>
          <w:rFonts w:ascii="Book Antiqua" w:hAnsi="Book Antiqua" w:cs="Arial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pStyle w:val="ab"/>
        <w:shd w:val="clear" w:color="auto" w:fill="FFFFFF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>4. Анализ рисков реализации Программы, меры управления рисками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proofErr w:type="gramStart"/>
      <w:r w:rsidRPr="003011E1">
        <w:rPr>
          <w:rFonts w:ascii="Book Antiqua" w:hAnsi="Book Antiqua" w:cs="Arial"/>
        </w:rPr>
        <w:t>Важное значение</w:t>
      </w:r>
      <w:proofErr w:type="gramEnd"/>
      <w:r w:rsidRPr="003011E1">
        <w:rPr>
          <w:rFonts w:ascii="Book Antiqua" w:hAnsi="Book Antiqua" w:cs="Arial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рамках реализации Программы могут быть выделены следующие риски ее реализации.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Правовые риски</w:t>
      </w:r>
      <w:r w:rsidRPr="003011E1">
        <w:rPr>
          <w:rFonts w:ascii="Book Antiqua" w:hAnsi="Book Antiqua" w:cs="Arial"/>
        </w:rPr>
        <w:t xml:space="preserve"> связаны с изменением федерального и регионального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lastRenderedPageBreak/>
        <w:t>Финансовые риски</w:t>
      </w:r>
      <w:r w:rsidRPr="003011E1">
        <w:rPr>
          <w:rFonts w:ascii="Book Antiqua" w:hAnsi="Book Antiqua" w:cs="Arial"/>
        </w:rPr>
        <w:t xml:space="preserve"> связаны 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Способами ограничения финансовых рисков выступают: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определение приоритетов для первоочередного финансирования;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планирование бюджетных расходов с применением методик оценки эффективности бюджетных расходов;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привлечение внебюджетного финансирования. 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Макроэкономические риски</w:t>
      </w:r>
      <w:r w:rsidRPr="003011E1">
        <w:rPr>
          <w:rFonts w:ascii="Book Antiqua" w:hAnsi="Book Antiqua" w:cs="Arial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  <w:b/>
          <w:i/>
        </w:rPr>
        <w:t>Административные риски</w:t>
      </w:r>
      <w:r w:rsidRPr="003011E1">
        <w:rPr>
          <w:rFonts w:ascii="Book Antiqua" w:hAnsi="Book Antiqua" w:cs="Arial"/>
        </w:rPr>
        <w:t xml:space="preserve">. Риски данной группы связаны с неэффективным управлением реализацией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ее цели и задач, </w:t>
      </w:r>
      <w:proofErr w:type="spellStart"/>
      <w:r w:rsidRPr="003011E1">
        <w:rPr>
          <w:rFonts w:ascii="Book Antiqua" w:hAnsi="Book Antiqua" w:cs="Arial"/>
        </w:rPr>
        <w:t>недостижение</w:t>
      </w:r>
      <w:proofErr w:type="spellEnd"/>
      <w:r w:rsidRPr="003011E1">
        <w:rPr>
          <w:rFonts w:ascii="Book Antiqua" w:hAnsi="Book Antiqua" w:cs="Arial"/>
        </w:rPr>
        <w:t xml:space="preserve">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Основными условиями минимизации административных рисков являются: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формирование эффективной системы управления реализацией Программы;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проведение систематического мониторинга результативности реализации Программы;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повышение </w:t>
      </w:r>
      <w:proofErr w:type="gramStart"/>
      <w:r w:rsidRPr="003011E1">
        <w:rPr>
          <w:rFonts w:ascii="Book Antiqua" w:hAnsi="Book Antiqua" w:cs="Arial"/>
        </w:rPr>
        <w:t>эффективности взаимодействия участников реализации Программы</w:t>
      </w:r>
      <w:proofErr w:type="gramEnd"/>
      <w:r w:rsidRPr="003011E1">
        <w:rPr>
          <w:rFonts w:ascii="Book Antiqua" w:hAnsi="Book Antiqua" w:cs="Arial"/>
        </w:rPr>
        <w:t>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заключение и контроль реализации соглашений о взаимодействии с заинтересованными сторонами;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своевременная корректировка мероприятий Программы.</w:t>
      </w:r>
    </w:p>
    <w:p w:rsidR="001A4CB4" w:rsidRPr="003011E1" w:rsidRDefault="001A4CB4" w:rsidP="001A4CB4">
      <w:pPr>
        <w:shd w:val="clear" w:color="auto" w:fill="FFFFFF"/>
        <w:ind w:firstLine="567"/>
        <w:jc w:val="center"/>
        <w:rPr>
          <w:rFonts w:ascii="Book Antiqua" w:hAnsi="Book Antiqua"/>
          <w:b/>
          <w:lang w:eastAsia="ar-SA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5. Оценка планируемой эффективности муниципальной программы</w:t>
      </w:r>
    </w:p>
    <w:p w:rsidR="001A4CB4" w:rsidRPr="003011E1" w:rsidRDefault="001A4CB4" w:rsidP="001A4CB4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ходе реализации Программы ответственный исполнитель Программы в целях определения необходимости ее корректировки проводит оперативную оценку эффективности ее реализации.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качестве критериев оценки эффективности Программы используются целевые показатели (индикаторы), приведенные в Приложении 1 «Плановые значения целевых показателей (индикаторов) муниципальной программы внутригородского муниципального образования города Севастополя Качинский муниципальный округ «Информационное общество» на 201</w:t>
      </w:r>
      <w:r w:rsidR="0099515C">
        <w:rPr>
          <w:rFonts w:ascii="Book Antiqua" w:hAnsi="Book Antiqua" w:cs="Arial"/>
        </w:rPr>
        <w:t>8</w:t>
      </w:r>
      <w:r w:rsidRPr="003011E1">
        <w:rPr>
          <w:rFonts w:ascii="Book Antiqua" w:hAnsi="Book Antiqua" w:cs="Arial"/>
        </w:rPr>
        <w:t>–20</w:t>
      </w:r>
      <w:r w:rsidR="0099515C">
        <w:rPr>
          <w:rFonts w:ascii="Book Antiqua" w:hAnsi="Book Antiqua" w:cs="Arial"/>
        </w:rPr>
        <w:t>20</w:t>
      </w:r>
      <w:r w:rsidRPr="003011E1">
        <w:rPr>
          <w:rFonts w:ascii="Book Antiqua" w:hAnsi="Book Antiqua" w:cs="Arial"/>
        </w:rPr>
        <w:t xml:space="preserve"> годы. Эффективность реализации Программы определяется степенью достижения плановых значений целевых показателей (индикаторов).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lastRenderedPageBreak/>
        <w:t>Социальный эффект от реализации Программы выражается в обеспечении реализации прав граждан на участие в осуществлении местного самоуправления посредством: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привлечения общественного интереса к деятельности органов местного самоуправления и укрепления атмосферы доверия граждан к ним;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улучшения координации и взаимодействия граждан, органов местного самоуправления и средств массовой информации по вопросам местного значения.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Программы будет способствовать созданию единого информационного пространства на территории Качинского муниципального округа, всестороннему информационному обеспечению социально-экономического и общественно-политического развития региона по всем направлениям деятельности органов местного самоуправления.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Своевременное и достоверное информирование населения округа призвано обеспечить снижение социальной напряженности, предотвращение любых социальных конфликтов.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Количество размещенных на официальном сайте муниципального округа официальных документов в первый год реализации Программы составит не менее 2</w:t>
      </w:r>
      <w:r w:rsidR="00AB749C">
        <w:rPr>
          <w:rFonts w:ascii="Book Antiqua" w:hAnsi="Book Antiqua" w:cs="Arial"/>
        </w:rPr>
        <w:t>5</w:t>
      </w:r>
      <w:r w:rsidRPr="003011E1">
        <w:rPr>
          <w:rFonts w:ascii="Book Antiqua" w:hAnsi="Book Antiqua" w:cs="Arial"/>
        </w:rPr>
        <w:t>0 шт. и в целом не менее 5</w:t>
      </w:r>
      <w:r w:rsidR="00AB749C">
        <w:rPr>
          <w:rFonts w:ascii="Book Antiqua" w:hAnsi="Book Antiqua" w:cs="Arial"/>
        </w:rPr>
        <w:t>5</w:t>
      </w:r>
      <w:r w:rsidRPr="003011E1">
        <w:rPr>
          <w:rFonts w:ascii="Book Antiqua" w:hAnsi="Book Antiqua" w:cs="Arial"/>
        </w:rPr>
        <w:t>0 шт.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В связи с увеличением площади печатного материала</w:t>
      </w:r>
      <w:r w:rsidR="00AB749C">
        <w:rPr>
          <w:rFonts w:ascii="Book Antiqua" w:hAnsi="Book Antiqua" w:cs="Arial"/>
        </w:rPr>
        <w:t>, постоянным совершенствованием официального сайта</w:t>
      </w:r>
      <w:r w:rsidRPr="003011E1">
        <w:rPr>
          <w:rFonts w:ascii="Book Antiqua" w:hAnsi="Book Antiqua" w:cs="Arial"/>
        </w:rPr>
        <w:t xml:space="preserve">, в </w:t>
      </w:r>
      <w:proofErr w:type="spellStart"/>
      <w:r w:rsidRPr="003011E1">
        <w:rPr>
          <w:rFonts w:ascii="Book Antiqua" w:hAnsi="Book Antiqua" w:cs="Arial"/>
        </w:rPr>
        <w:t>т.ч</w:t>
      </w:r>
      <w:proofErr w:type="spellEnd"/>
      <w:r w:rsidRPr="003011E1">
        <w:rPr>
          <w:rFonts w:ascii="Book Antiqua" w:hAnsi="Book Antiqua" w:cs="Arial"/>
        </w:rPr>
        <w:t>. в печатных СМИ, публикующих информацию о деятельности органов местного самоуправления, до 2000-возрастет число потенциальных читателей</w:t>
      </w:r>
      <w:r w:rsidR="00AB749C">
        <w:rPr>
          <w:rFonts w:ascii="Book Antiqua" w:hAnsi="Book Antiqua" w:cs="Arial"/>
        </w:rPr>
        <w:t xml:space="preserve"> и посетителей сайта</w:t>
      </w:r>
      <w:r w:rsidRPr="003011E1">
        <w:rPr>
          <w:rFonts w:ascii="Book Antiqua" w:hAnsi="Book Antiqua" w:cs="Arial"/>
        </w:rPr>
        <w:t xml:space="preserve"> в первый год реализации Программы. За счет увеличения числа источников, публикующих информацию о деятельности органов местного самоуправления, по окончании реализации программы увеличится до 3000 чел. число читателей</w:t>
      </w:r>
      <w:r w:rsidR="00AB749C">
        <w:rPr>
          <w:rFonts w:ascii="Book Antiqua" w:hAnsi="Book Antiqua" w:cs="Arial"/>
        </w:rPr>
        <w:t xml:space="preserve"> и посетителей сайта</w:t>
      </w:r>
      <w:r w:rsidRPr="003011E1">
        <w:rPr>
          <w:rFonts w:ascii="Book Antiqua" w:hAnsi="Book Antiqua" w:cs="Arial"/>
        </w:rPr>
        <w:t>. Показатель планируется увеличить за счет внедрения современных средств информирования, создания условий для обеспечения гласности и открытости принимаемых решений.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За время реализации Программы планируется увеличить число сходов граждан, опросов и прочих мероприятий по информированию населения о работе органов местного самоуправления в Ка</w:t>
      </w:r>
      <w:r w:rsidR="00AB749C">
        <w:rPr>
          <w:rFonts w:ascii="Book Antiqua" w:hAnsi="Book Antiqua" w:cs="Arial"/>
        </w:rPr>
        <w:t>чинском муниципального округе.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> </w:t>
      </w: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>6. Механизм реализации программы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 Координацию деятельности исполнителей Программы осуществляет заместитель Главы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Исполнители Программы:</w:t>
      </w:r>
    </w:p>
    <w:p w:rsidR="001A4CB4" w:rsidRPr="003011E1" w:rsidRDefault="001A4CB4" w:rsidP="001A4CB4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обеспечивают своевременную реализацию программных мероприятий;</w:t>
      </w:r>
    </w:p>
    <w:p w:rsidR="001A4CB4" w:rsidRPr="003011E1" w:rsidRDefault="001A4CB4" w:rsidP="001A4CB4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3D4FA6" w:rsidRDefault="003D4FA6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1A4CB4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 xml:space="preserve">7. Организация управления Программой и </w:t>
      </w:r>
      <w:proofErr w:type="gramStart"/>
      <w:r w:rsidRPr="003011E1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3011E1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1A4CB4" w:rsidRPr="003011E1" w:rsidRDefault="001A4CB4" w:rsidP="001A4CB4">
      <w:pPr>
        <w:shd w:val="clear" w:color="auto" w:fill="FFFFFF"/>
        <w:ind w:firstLine="709"/>
        <w:jc w:val="center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 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Реализация Программы осуществляется на основе: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 xml:space="preserve">условий, порядка и правил, утвержденных федеральными и областными нормативными правовыми актами; 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Управление Программой включает в себя: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оценку эффективности реализации разделов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МА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Отчет о реализации Программы должен содержать: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результатах реализации Программы за отчетный период;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информацию о ходе и полноте выполнения программных мероприятий;</w:t>
      </w:r>
    </w:p>
    <w:p w:rsidR="001A4CB4" w:rsidRPr="003011E1" w:rsidRDefault="001A4CB4" w:rsidP="001A4CB4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Book Antiqua" w:hAnsi="Book Antiqua" w:cs="Arial"/>
          <w:sz w:val="24"/>
          <w:szCs w:val="24"/>
        </w:rPr>
      </w:pPr>
      <w:r w:rsidRPr="003011E1">
        <w:rPr>
          <w:rFonts w:ascii="Book Antiqua" w:hAnsi="Book Antiqua" w:cs="Arial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3011E1">
          <w:rPr>
            <w:rFonts w:ascii="Book Antiqua" w:hAnsi="Book Antiqua" w:cs="Arial"/>
            <w:sz w:val="24"/>
            <w:szCs w:val="24"/>
          </w:rPr>
          <w:t>методикой</w:t>
        </w:r>
      </w:hyperlink>
      <w:r w:rsidRPr="003011E1">
        <w:rPr>
          <w:rFonts w:ascii="Book Antiqua" w:hAnsi="Book Antiqua" w:cs="Arial"/>
          <w:sz w:val="24"/>
          <w:szCs w:val="24"/>
        </w:rPr>
        <w:t>, утвержденной нормативным актом МА Качинского МО.</w:t>
      </w:r>
    </w:p>
    <w:p w:rsidR="001A4CB4" w:rsidRPr="003011E1" w:rsidRDefault="001A4CB4" w:rsidP="001A4CB4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 w:cs="Arial"/>
        </w:rPr>
      </w:pP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r w:rsidRPr="003011E1">
        <w:rPr>
          <w:rFonts w:ascii="Book Antiqua" w:hAnsi="Book Antiqua" w:cs="Arial"/>
        </w:rPr>
        <w:t xml:space="preserve">Отчеты о ходе реализации Программы по результатам за год и за </w:t>
      </w:r>
      <w:r w:rsidR="00840517">
        <w:rPr>
          <w:rFonts w:ascii="Book Antiqua" w:hAnsi="Book Antiqua" w:cs="Arial"/>
        </w:rPr>
        <w:t xml:space="preserve">отчетный </w:t>
      </w:r>
      <w:r w:rsidRPr="003011E1">
        <w:rPr>
          <w:rFonts w:ascii="Book Antiqua" w:hAnsi="Book Antiqua" w:cs="Arial"/>
        </w:rPr>
        <w:t xml:space="preserve">период подлежат утверждению постановлением местной администрации Качинского муниципального округа  </w:t>
      </w:r>
      <w:r w:rsidR="00840517">
        <w:rPr>
          <w:rFonts w:ascii="Book Antiqua" w:hAnsi="Book Antiqua" w:cs="Arial"/>
        </w:rPr>
        <w:t xml:space="preserve"> и выносятся на </w:t>
      </w:r>
      <w:r w:rsidRPr="003011E1">
        <w:rPr>
          <w:rFonts w:ascii="Book Antiqua" w:hAnsi="Book Antiqua" w:cs="Arial"/>
        </w:rPr>
        <w:t>рассмотрение Совета Качинского МО.</w:t>
      </w:r>
    </w:p>
    <w:p w:rsidR="001A4CB4" w:rsidRPr="003011E1" w:rsidRDefault="001A4CB4" w:rsidP="001A4CB4">
      <w:pPr>
        <w:shd w:val="clear" w:color="auto" w:fill="FFFFFF"/>
        <w:ind w:firstLine="709"/>
        <w:jc w:val="both"/>
        <w:rPr>
          <w:rFonts w:ascii="Book Antiqua" w:hAnsi="Book Antiqua" w:cs="Arial"/>
        </w:rPr>
      </w:pPr>
      <w:proofErr w:type="gramStart"/>
      <w:r w:rsidRPr="003011E1">
        <w:rPr>
          <w:rFonts w:ascii="Book Antiqua" w:hAnsi="Book Antiqua" w:cs="Arial"/>
        </w:rPr>
        <w:t>Контроль за</w:t>
      </w:r>
      <w:proofErr w:type="gramEnd"/>
      <w:r w:rsidRPr="003011E1">
        <w:rPr>
          <w:rFonts w:ascii="Book Antiqua" w:hAnsi="Book Antiqua" w:cs="Arial"/>
        </w:rPr>
        <w:t xml:space="preserve"> ходом реализации Программы осуществляет заместитель Главы МА Качинского МО.</w:t>
      </w:r>
    </w:p>
    <w:p w:rsidR="009742C3" w:rsidRPr="00AE6469" w:rsidRDefault="009742C3" w:rsidP="009742C3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9742C3" w:rsidRPr="00AE6469" w:rsidTr="00CE4774">
        <w:tc>
          <w:tcPr>
            <w:tcW w:w="5637" w:type="dxa"/>
            <w:vAlign w:val="center"/>
            <w:hideMark/>
          </w:tcPr>
          <w:p w:rsidR="009742C3" w:rsidRPr="00AE6469" w:rsidRDefault="00E95050" w:rsidP="00CE4774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95050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Заместитель Главы местной администрации, Руководитель аппарата</w:t>
            </w:r>
          </w:p>
        </w:tc>
        <w:tc>
          <w:tcPr>
            <w:tcW w:w="2163" w:type="dxa"/>
            <w:vAlign w:val="center"/>
          </w:tcPr>
          <w:p w:rsidR="009742C3" w:rsidRPr="00AE6469" w:rsidRDefault="009742C3" w:rsidP="00CE4774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9742C3" w:rsidRPr="00AE6469" w:rsidRDefault="009742C3" w:rsidP="00CE4774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742C3" w:rsidRPr="00AE6469" w:rsidRDefault="009742C3" w:rsidP="00CE477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9742C3" w:rsidRPr="00AE6469" w:rsidRDefault="00E95050" w:rsidP="00CE4774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Р.А. Тишко</w:t>
            </w:r>
          </w:p>
        </w:tc>
      </w:tr>
    </w:tbl>
    <w:p w:rsidR="00840517" w:rsidRDefault="00840517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17230" w:rsidRDefault="00117230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17230" w:rsidRDefault="00117230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lastRenderedPageBreak/>
        <w:t xml:space="preserve">Приложение 1 </w:t>
      </w:r>
    </w:p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к </w:t>
      </w:r>
      <w:r w:rsidR="003D4FA6">
        <w:rPr>
          <w:rFonts w:ascii="Book Antiqua" w:hAnsi="Book Antiqua" w:cs="Arial"/>
        </w:rPr>
        <w:t>муниципальной программе «</w:t>
      </w:r>
      <w:r w:rsidR="003D4FA6" w:rsidRPr="003011E1">
        <w:rPr>
          <w:rFonts w:ascii="Book Antiqua" w:hAnsi="Book Antiqua" w:cs="Arial"/>
        </w:rPr>
        <w:t>Информационное общество</w:t>
      </w:r>
      <w:r w:rsidR="00C119E8">
        <w:rPr>
          <w:rFonts w:ascii="Book Antiqua" w:hAnsi="Book Antiqua" w:cs="Arial"/>
        </w:rPr>
        <w:t>»</w:t>
      </w:r>
    </w:p>
    <w:p w:rsidR="001A4CB4" w:rsidRPr="003011E1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</w:p>
    <w:p w:rsidR="001A4CB4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  <w:r w:rsidRPr="003011E1">
        <w:rPr>
          <w:rFonts w:ascii="Book Antiqua" w:hAnsi="Book Antiqua"/>
          <w:b/>
          <w:bCs/>
          <w:color w:val="000000"/>
        </w:rPr>
        <w:t xml:space="preserve">Плановые значения целевых показателей (индикаторов) муниципальной программы внутригородского муниципального образования города Севастополя Качинский муниципальный округ «Информационное общество» </w:t>
      </w:r>
    </w:p>
    <w:p w:rsidR="00E95050" w:rsidRPr="003011E1" w:rsidRDefault="00E95050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  <w:bookmarkStart w:id="1" w:name="_GoBack"/>
      <w:bookmarkEnd w:id="1"/>
    </w:p>
    <w:tbl>
      <w:tblPr>
        <w:tblStyle w:val="a4"/>
        <w:tblW w:w="0" w:type="auto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948"/>
        <w:gridCol w:w="3118"/>
        <w:gridCol w:w="1559"/>
        <w:gridCol w:w="1134"/>
        <w:gridCol w:w="993"/>
        <w:gridCol w:w="1098"/>
      </w:tblGrid>
      <w:tr w:rsidR="00E26338" w:rsidRPr="003011E1" w:rsidTr="00FC16F9">
        <w:trPr>
          <w:jc w:val="center"/>
        </w:trPr>
        <w:tc>
          <w:tcPr>
            <w:tcW w:w="948" w:type="dxa"/>
            <w:vMerge w:val="restart"/>
            <w:vAlign w:val="center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118" w:type="dxa"/>
            <w:vMerge w:val="restart"/>
            <w:vAlign w:val="center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Целевой показатель</w:t>
            </w:r>
          </w:p>
        </w:tc>
        <w:tc>
          <w:tcPr>
            <w:tcW w:w="1559" w:type="dxa"/>
            <w:vMerge w:val="restart"/>
            <w:vAlign w:val="center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25" w:type="dxa"/>
            <w:gridSpan w:val="3"/>
            <w:vAlign w:val="center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Плановые значения целевого показателя</w:t>
            </w:r>
          </w:p>
        </w:tc>
      </w:tr>
      <w:tr w:rsidR="00E26338" w:rsidRPr="003011E1" w:rsidTr="00FC16F9">
        <w:trPr>
          <w:jc w:val="center"/>
        </w:trPr>
        <w:tc>
          <w:tcPr>
            <w:tcW w:w="948" w:type="dxa"/>
            <w:vMerge/>
            <w:vAlign w:val="center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26338" w:rsidRPr="003011E1" w:rsidRDefault="00E26338" w:rsidP="00E2633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:rsidR="00E26338" w:rsidRPr="003011E1" w:rsidRDefault="00E26338" w:rsidP="00E2633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98" w:type="dxa"/>
            <w:vAlign w:val="center"/>
          </w:tcPr>
          <w:p w:rsidR="00E26338" w:rsidRPr="003011E1" w:rsidRDefault="00E26338" w:rsidP="00E26338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</w:rPr>
            </w:pPr>
            <w:r w:rsidRPr="003011E1">
              <w:rPr>
                <w:rFonts w:ascii="Book Antiqua" w:hAnsi="Book Antiqua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E26338" w:rsidRPr="003011E1" w:rsidTr="00FC16F9">
        <w:trPr>
          <w:jc w:val="center"/>
        </w:trPr>
        <w:tc>
          <w:tcPr>
            <w:tcW w:w="948" w:type="dxa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5</w:t>
            </w:r>
          </w:p>
        </w:tc>
        <w:tc>
          <w:tcPr>
            <w:tcW w:w="1098" w:type="dxa"/>
          </w:tcPr>
          <w:p w:rsidR="00E26338" w:rsidRPr="003011E1" w:rsidRDefault="00E26338" w:rsidP="00FC16F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3011E1">
              <w:rPr>
                <w:rFonts w:ascii="Book Antiqua" w:hAnsi="Book Antiqua"/>
                <w:b/>
                <w:sz w:val="28"/>
                <w:szCs w:val="28"/>
              </w:rPr>
              <w:t>6</w:t>
            </w:r>
          </w:p>
        </w:tc>
      </w:tr>
      <w:tr w:rsidR="00E26338" w:rsidRPr="003011E1" w:rsidTr="00FC16F9">
        <w:trPr>
          <w:jc w:val="center"/>
        </w:trPr>
        <w:tc>
          <w:tcPr>
            <w:tcW w:w="948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Число потенциальных читателей</w:t>
            </w:r>
            <w:r>
              <w:rPr>
                <w:rFonts w:ascii="Book Antiqua" w:hAnsi="Book Antiqua"/>
              </w:rPr>
              <w:t>, посетителей сайта</w:t>
            </w:r>
          </w:p>
        </w:tc>
        <w:tc>
          <w:tcPr>
            <w:tcW w:w="1559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чел.</w:t>
            </w:r>
          </w:p>
        </w:tc>
        <w:tc>
          <w:tcPr>
            <w:tcW w:w="1134" w:type="dxa"/>
            <w:vAlign w:val="center"/>
          </w:tcPr>
          <w:p w:rsidR="00E26338" w:rsidRPr="003011E1" w:rsidRDefault="00E26338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</w:t>
            </w:r>
            <w:r w:rsidRPr="003011E1">
              <w:rPr>
                <w:rFonts w:ascii="Book Antiqua" w:hAnsi="Book Antiqua"/>
              </w:rPr>
              <w:t>00</w:t>
            </w:r>
          </w:p>
        </w:tc>
        <w:tc>
          <w:tcPr>
            <w:tcW w:w="993" w:type="dxa"/>
            <w:vAlign w:val="center"/>
          </w:tcPr>
          <w:p w:rsidR="00E26338" w:rsidRPr="003011E1" w:rsidRDefault="00E26338" w:rsidP="00FC16F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2400</w:t>
            </w:r>
          </w:p>
        </w:tc>
        <w:tc>
          <w:tcPr>
            <w:tcW w:w="1098" w:type="dxa"/>
            <w:vAlign w:val="center"/>
          </w:tcPr>
          <w:p w:rsidR="00E26338" w:rsidRPr="003011E1" w:rsidRDefault="00E26338" w:rsidP="00FC16F9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</w:t>
            </w:r>
            <w:r>
              <w:rPr>
                <w:rFonts w:ascii="Book Antiqua" w:hAnsi="Book Antiqua"/>
              </w:rPr>
              <w:t>5</w:t>
            </w:r>
            <w:r w:rsidRPr="003011E1">
              <w:rPr>
                <w:rFonts w:ascii="Book Antiqua" w:hAnsi="Book Antiqua"/>
              </w:rPr>
              <w:t>00</w:t>
            </w:r>
          </w:p>
        </w:tc>
      </w:tr>
      <w:tr w:rsidR="00E26338" w:rsidRPr="003011E1" w:rsidTr="00FC16F9">
        <w:trPr>
          <w:jc w:val="center"/>
        </w:trPr>
        <w:tc>
          <w:tcPr>
            <w:tcW w:w="948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</w:rPr>
              <w:t>Количество размещенных на сайте Качинского муниципального округа и на информационных стендах официальных документов</w:t>
            </w:r>
          </w:p>
        </w:tc>
        <w:tc>
          <w:tcPr>
            <w:tcW w:w="1559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шт.</w:t>
            </w:r>
          </w:p>
        </w:tc>
        <w:tc>
          <w:tcPr>
            <w:tcW w:w="1134" w:type="dxa"/>
            <w:vAlign w:val="center"/>
          </w:tcPr>
          <w:p w:rsidR="00E26338" w:rsidRPr="003011E1" w:rsidRDefault="00E26338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180</w:t>
            </w:r>
          </w:p>
        </w:tc>
        <w:tc>
          <w:tcPr>
            <w:tcW w:w="993" w:type="dxa"/>
            <w:vAlign w:val="center"/>
          </w:tcPr>
          <w:p w:rsidR="00E26338" w:rsidRPr="00E26338" w:rsidRDefault="00E26338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210</w:t>
            </w:r>
          </w:p>
        </w:tc>
        <w:tc>
          <w:tcPr>
            <w:tcW w:w="1098" w:type="dxa"/>
            <w:vAlign w:val="center"/>
          </w:tcPr>
          <w:p w:rsidR="00E26338" w:rsidRPr="00E26338" w:rsidRDefault="00E26338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230</w:t>
            </w:r>
          </w:p>
        </w:tc>
      </w:tr>
      <w:tr w:rsidR="00E26338" w:rsidRPr="003011E1" w:rsidTr="00FC16F9">
        <w:trPr>
          <w:jc w:val="center"/>
        </w:trPr>
        <w:tc>
          <w:tcPr>
            <w:tcW w:w="948" w:type="dxa"/>
            <w:vAlign w:val="center"/>
          </w:tcPr>
          <w:p w:rsidR="00E26338" w:rsidRPr="00CB4D80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  <w:lang w:val="en-US"/>
              </w:rPr>
              <w:t>3</w:t>
            </w:r>
          </w:p>
        </w:tc>
        <w:tc>
          <w:tcPr>
            <w:tcW w:w="3118" w:type="dxa"/>
            <w:vAlign w:val="center"/>
          </w:tcPr>
          <w:p w:rsidR="00E26338" w:rsidRPr="00CB4D80" w:rsidRDefault="00E26338" w:rsidP="00FC16F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Количество проведенных мероприятий в год</w:t>
            </w:r>
          </w:p>
        </w:tc>
        <w:tc>
          <w:tcPr>
            <w:tcW w:w="1559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Ед.</w:t>
            </w:r>
          </w:p>
        </w:tc>
        <w:tc>
          <w:tcPr>
            <w:tcW w:w="1134" w:type="dxa"/>
            <w:vAlign w:val="center"/>
          </w:tcPr>
          <w:p w:rsidR="00E26338" w:rsidRPr="003011E1" w:rsidRDefault="00E26338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993" w:type="dxa"/>
            <w:vAlign w:val="center"/>
          </w:tcPr>
          <w:p w:rsidR="00E26338" w:rsidRPr="00CB4D80" w:rsidRDefault="00E26338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</w:t>
            </w:r>
          </w:p>
        </w:tc>
        <w:tc>
          <w:tcPr>
            <w:tcW w:w="1098" w:type="dxa"/>
            <w:vAlign w:val="center"/>
          </w:tcPr>
          <w:p w:rsidR="00E26338" w:rsidRPr="00CB4D80" w:rsidRDefault="00E26338" w:rsidP="00FC16F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</w:tr>
      <w:tr w:rsidR="00E26338" w:rsidRPr="003011E1" w:rsidTr="00FC16F9">
        <w:trPr>
          <w:jc w:val="center"/>
        </w:trPr>
        <w:tc>
          <w:tcPr>
            <w:tcW w:w="948" w:type="dxa"/>
            <w:vAlign w:val="center"/>
          </w:tcPr>
          <w:p w:rsidR="00E26338" w:rsidRPr="00CB4D80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  <w:lang w:val="en-US"/>
              </w:rPr>
            </w:pPr>
            <w:r>
              <w:rPr>
                <w:rFonts w:ascii="Book Antiqua" w:hAnsi="Book Antiqua"/>
                <w:color w:val="000000"/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Освоение средств, выделенных для реализации программы</w:t>
            </w:r>
          </w:p>
        </w:tc>
        <w:tc>
          <w:tcPr>
            <w:tcW w:w="1559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%</w:t>
            </w:r>
          </w:p>
        </w:tc>
        <w:tc>
          <w:tcPr>
            <w:tcW w:w="1134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  <w:tc>
          <w:tcPr>
            <w:tcW w:w="1098" w:type="dxa"/>
            <w:vAlign w:val="center"/>
          </w:tcPr>
          <w:p w:rsidR="00E26338" w:rsidRPr="003011E1" w:rsidRDefault="00E26338" w:rsidP="00FC16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3011E1">
              <w:rPr>
                <w:rFonts w:ascii="Book Antiqua" w:hAnsi="Book Antiqua"/>
                <w:color w:val="000000"/>
              </w:rPr>
              <w:t>100</w:t>
            </w:r>
          </w:p>
        </w:tc>
      </w:tr>
    </w:tbl>
    <w:p w:rsidR="001A4CB4" w:rsidRPr="003011E1" w:rsidRDefault="001A4CB4" w:rsidP="001A4CB4">
      <w:pPr>
        <w:shd w:val="clear" w:color="auto" w:fill="FFFFFF"/>
        <w:spacing w:after="150"/>
        <w:jc w:val="center"/>
        <w:rPr>
          <w:rFonts w:ascii="Book Antiqua" w:hAnsi="Book Antiqua"/>
          <w:b/>
          <w:bCs/>
          <w:color w:val="000000"/>
        </w:rPr>
      </w:pPr>
    </w:p>
    <w:p w:rsidR="001A4CB4" w:rsidRPr="003011E1" w:rsidRDefault="001A4CB4" w:rsidP="002A1296">
      <w:pPr>
        <w:shd w:val="clear" w:color="auto" w:fill="FFFFFF"/>
        <w:rPr>
          <w:rFonts w:ascii="Book Antiqua" w:hAnsi="Book Antiqua"/>
          <w:color w:val="000000"/>
        </w:rPr>
      </w:pPr>
    </w:p>
    <w:p w:rsidR="001A4CB4" w:rsidRPr="003011E1" w:rsidRDefault="001A4CB4" w:rsidP="001A4CB4">
      <w:pPr>
        <w:shd w:val="clear" w:color="auto" w:fill="FFFFFF"/>
        <w:ind w:left="5670"/>
        <w:rPr>
          <w:rFonts w:ascii="Book Antiqua" w:hAnsi="Book Antiqua"/>
          <w:color w:val="000000"/>
        </w:rPr>
        <w:sectPr w:rsidR="001A4CB4" w:rsidRPr="003011E1" w:rsidSect="00EA07D3">
          <w:headerReference w:type="even" r:id="rId11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1A4CB4" w:rsidRPr="003011E1" w:rsidRDefault="001A4CB4" w:rsidP="001A4CB4">
      <w:pPr>
        <w:shd w:val="clear" w:color="auto" w:fill="FFFFFF"/>
        <w:ind w:left="9072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lastRenderedPageBreak/>
        <w:t>Приложение 2</w:t>
      </w:r>
    </w:p>
    <w:p w:rsidR="001A4CB4" w:rsidRPr="003011E1" w:rsidRDefault="003D4FA6" w:rsidP="001A4CB4">
      <w:pPr>
        <w:shd w:val="clear" w:color="auto" w:fill="FFFFFF"/>
        <w:ind w:left="9072"/>
        <w:rPr>
          <w:rFonts w:ascii="Book Antiqua" w:hAnsi="Book Antiqua"/>
          <w:color w:val="000000"/>
        </w:rPr>
      </w:pPr>
      <w:r w:rsidRPr="003011E1">
        <w:rPr>
          <w:rFonts w:ascii="Book Antiqua" w:hAnsi="Book Antiqua"/>
          <w:color w:val="000000"/>
        </w:rPr>
        <w:t xml:space="preserve">к </w:t>
      </w:r>
      <w:r>
        <w:rPr>
          <w:rFonts w:ascii="Book Antiqua" w:hAnsi="Book Antiqua" w:cs="Arial"/>
        </w:rPr>
        <w:t>муниципальной программе «</w:t>
      </w:r>
      <w:r w:rsidRPr="003011E1">
        <w:rPr>
          <w:rFonts w:ascii="Book Antiqua" w:hAnsi="Book Antiqua" w:cs="Arial"/>
        </w:rPr>
        <w:t>Информационное общество</w:t>
      </w:r>
      <w:r w:rsidR="00C119E8">
        <w:rPr>
          <w:rFonts w:ascii="Book Antiqua" w:hAnsi="Book Antiqua" w:cs="Arial"/>
        </w:rPr>
        <w:t>»</w:t>
      </w:r>
    </w:p>
    <w:p w:rsidR="001A4CB4" w:rsidRPr="003011E1" w:rsidRDefault="001A4CB4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color w:val="292929"/>
          <w:sz w:val="24"/>
          <w:szCs w:val="24"/>
        </w:rPr>
      </w:pPr>
    </w:p>
    <w:p w:rsidR="001A4CB4" w:rsidRPr="003011E1" w:rsidRDefault="001A4CB4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3011E1">
        <w:rPr>
          <w:rFonts w:ascii="Book Antiqua" w:hAnsi="Book Antiqua"/>
          <w:b/>
          <w:bCs/>
          <w:color w:val="000000"/>
          <w:sz w:val="24"/>
          <w:szCs w:val="24"/>
        </w:rPr>
        <w:t xml:space="preserve">Перечень основных мероприятий и ресурсное обеспечение муниципальной программы внутригородского муниципального округа города Севастополя Качинский муниципальный округ «Информационное общество» </w:t>
      </w:r>
    </w:p>
    <w:p w:rsidR="002A1296" w:rsidRPr="002A1296" w:rsidRDefault="002A1296" w:rsidP="001A4C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5495"/>
        <w:gridCol w:w="1984"/>
        <w:gridCol w:w="1134"/>
        <w:gridCol w:w="1985"/>
        <w:gridCol w:w="992"/>
        <w:gridCol w:w="992"/>
        <w:gridCol w:w="993"/>
        <w:gridCol w:w="992"/>
      </w:tblGrid>
      <w:tr w:rsidR="001A4CB4" w:rsidRPr="003011E1" w:rsidTr="00DB39C0">
        <w:trPr>
          <w:cantSplit/>
          <w:trHeight w:val="579"/>
          <w:tblHeader/>
        </w:trPr>
        <w:tc>
          <w:tcPr>
            <w:tcW w:w="5495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Наименование   </w:t>
            </w:r>
            <w:r w:rsidRPr="003011E1">
              <w:rPr>
                <w:rFonts w:ascii="Book Antiqua" w:hAnsi="Book Antiqua"/>
                <w:b/>
              </w:rPr>
              <w:br/>
              <w:t>мероприятия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3011E1">
              <w:rPr>
                <w:rFonts w:ascii="Book Antiqua" w:hAnsi="Book Antiqua"/>
                <w:b/>
              </w:rPr>
              <w:t>Ответствен-</w:t>
            </w:r>
            <w:proofErr w:type="spellStart"/>
            <w:r w:rsidRPr="003011E1">
              <w:rPr>
                <w:rFonts w:ascii="Book Antiqua" w:hAnsi="Book Antiqua"/>
                <w:b/>
              </w:rPr>
              <w:t>ный</w:t>
            </w:r>
            <w:proofErr w:type="spellEnd"/>
            <w:proofErr w:type="gramEnd"/>
            <w:r w:rsidRPr="003011E1">
              <w:rPr>
                <w:rFonts w:ascii="Book Antiqua" w:hAnsi="Book Antiqua"/>
                <w:b/>
              </w:rPr>
              <w:t xml:space="preserve"> исполнитель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Сроки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Источники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финанс</w:t>
            </w:r>
            <w:proofErr w:type="gramStart"/>
            <w:r w:rsidRPr="003011E1">
              <w:rPr>
                <w:rFonts w:ascii="Book Antiqua" w:hAnsi="Book Antiqua"/>
                <w:b/>
              </w:rPr>
              <w:t>и</w:t>
            </w:r>
            <w:proofErr w:type="spellEnd"/>
            <w:r w:rsidRPr="003011E1">
              <w:rPr>
                <w:rFonts w:ascii="Book Antiqua" w:hAnsi="Book Antiqua"/>
                <w:b/>
              </w:rPr>
              <w:t>-</w:t>
            </w:r>
            <w:proofErr w:type="gramEnd"/>
            <w:r w:rsidRPr="003011E1">
              <w:rPr>
                <w:rFonts w:ascii="Book Antiqua" w:hAnsi="Book Antiqua"/>
                <w:b/>
              </w:rPr>
              <w:t> </w:t>
            </w:r>
            <w:r w:rsidRPr="003011E1">
              <w:rPr>
                <w:rFonts w:ascii="Book Antiqua" w:hAnsi="Book Antiqua"/>
                <w:b/>
              </w:rPr>
              <w:br/>
            </w:r>
            <w:proofErr w:type="spellStart"/>
            <w:r w:rsidRPr="003011E1">
              <w:rPr>
                <w:rFonts w:ascii="Book Antiqua" w:hAnsi="Book Antiqua"/>
                <w:b/>
              </w:rPr>
              <w:t>рования</w:t>
            </w:r>
            <w:proofErr w:type="spellEnd"/>
          </w:p>
        </w:tc>
        <w:tc>
          <w:tcPr>
            <w:tcW w:w="3969" w:type="dxa"/>
            <w:gridSpan w:val="4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Объем финансирования,    </w:t>
            </w:r>
            <w:r w:rsidRPr="003011E1">
              <w:rPr>
                <w:rFonts w:ascii="Book Antiqua" w:hAnsi="Book Antiqua"/>
                <w:b/>
              </w:rPr>
              <w:br/>
              <w:t>тыс. руб.</w:t>
            </w:r>
          </w:p>
        </w:tc>
      </w:tr>
      <w:tr w:rsidR="001A4CB4" w:rsidRPr="003011E1" w:rsidTr="00DB39C0">
        <w:trPr>
          <w:cantSplit/>
          <w:trHeight w:val="603"/>
          <w:tblHeader/>
        </w:trPr>
        <w:tc>
          <w:tcPr>
            <w:tcW w:w="549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EF5037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</w:t>
            </w:r>
            <w:r w:rsidR="00EF5037">
              <w:rPr>
                <w:rFonts w:ascii="Book Antiqua" w:hAnsi="Book Antiqua"/>
                <w:b/>
              </w:rPr>
              <w:t>9</w:t>
            </w:r>
          </w:p>
        </w:tc>
        <w:tc>
          <w:tcPr>
            <w:tcW w:w="993" w:type="dxa"/>
            <w:vAlign w:val="center"/>
            <w:hideMark/>
          </w:tcPr>
          <w:p w:rsidR="001A4CB4" w:rsidRPr="003011E1" w:rsidRDefault="001A4CB4" w:rsidP="00EF5037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</w:t>
            </w:r>
            <w:r w:rsidR="00EF5037">
              <w:rPr>
                <w:rFonts w:ascii="Book Antiqua" w:hAnsi="Book Antiqua"/>
                <w:b/>
              </w:rPr>
              <w:t>20</w:t>
            </w:r>
          </w:p>
        </w:tc>
        <w:tc>
          <w:tcPr>
            <w:tcW w:w="992" w:type="dxa"/>
            <w:vAlign w:val="center"/>
            <w:hideMark/>
          </w:tcPr>
          <w:p w:rsidR="001A4CB4" w:rsidRPr="003011E1" w:rsidRDefault="001A4CB4" w:rsidP="00EF5037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</w:t>
            </w:r>
            <w:r w:rsidR="004F59DD">
              <w:rPr>
                <w:rFonts w:ascii="Book Antiqua" w:hAnsi="Book Antiqua"/>
                <w:b/>
              </w:rPr>
              <w:t>2</w:t>
            </w:r>
            <w:r w:rsidR="00EF5037">
              <w:rPr>
                <w:rFonts w:ascii="Book Antiqua" w:hAnsi="Book Antiqua"/>
                <w:b/>
              </w:rPr>
              <w:t>1</w:t>
            </w:r>
          </w:p>
        </w:tc>
      </w:tr>
      <w:tr w:rsidR="001A4CB4" w:rsidRPr="003011E1" w:rsidTr="00DB39C0">
        <w:trPr>
          <w:cantSplit/>
          <w:trHeight w:val="346"/>
          <w:tblHeader/>
        </w:trPr>
        <w:tc>
          <w:tcPr>
            <w:tcW w:w="5495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1</w:t>
            </w:r>
          </w:p>
        </w:tc>
        <w:tc>
          <w:tcPr>
            <w:tcW w:w="198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7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8</w:t>
            </w:r>
          </w:p>
        </w:tc>
      </w:tr>
      <w:tr w:rsidR="001A4CB4" w:rsidRPr="003011E1" w:rsidTr="00DB39C0">
        <w:trPr>
          <w:cantSplit/>
          <w:trHeight w:val="479"/>
        </w:trPr>
        <w:tc>
          <w:tcPr>
            <w:tcW w:w="5495" w:type="dxa"/>
            <w:vMerge w:val="restart"/>
            <w:vAlign w:val="center"/>
          </w:tcPr>
          <w:p w:rsidR="001A4CB4" w:rsidRPr="003011E1" w:rsidRDefault="001A4CB4" w:rsidP="0060731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Размещение муниципальных правовых актов и иных официальных документов и информирование о деятельности органов местного самоуправления в средствах массовой информации, на информационных стендах</w:t>
            </w:r>
            <w:r w:rsidR="004F59DD">
              <w:rPr>
                <w:rFonts w:ascii="Book Antiqua" w:hAnsi="Book Antiqua"/>
              </w:rPr>
              <w:t>, рекламных конструкциях</w:t>
            </w:r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EF5037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 w:rsidR="00EF5037">
              <w:rPr>
                <w:rFonts w:ascii="Book Antiqua" w:hAnsi="Book Antiqua"/>
              </w:rPr>
              <w:t>9</w:t>
            </w:r>
            <w:r w:rsidRPr="003011E1">
              <w:rPr>
                <w:rFonts w:ascii="Book Antiqua" w:hAnsi="Book Antiqua"/>
              </w:rPr>
              <w:t>-20</w:t>
            </w:r>
            <w:r w:rsidR="004F59DD">
              <w:rPr>
                <w:rFonts w:ascii="Book Antiqua" w:hAnsi="Book Antiqua"/>
              </w:rPr>
              <w:t>2</w:t>
            </w:r>
            <w:r w:rsidR="00EF5037">
              <w:rPr>
                <w:rFonts w:ascii="Book Antiqua" w:hAnsi="Book Antiqua"/>
              </w:rPr>
              <w:t>1</w:t>
            </w:r>
            <w:r w:rsidRPr="003011E1">
              <w:rPr>
                <w:rFonts w:ascii="Book Antiqua" w:hAnsi="Book Antiqua"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EF5037" w:rsidP="00DE5DD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DE5DDA"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1A4CB4" w:rsidRPr="003011E1" w:rsidRDefault="00EF5037" w:rsidP="00DE5DDA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DE5DDA"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>,0</w:t>
            </w:r>
          </w:p>
        </w:tc>
        <w:tc>
          <w:tcPr>
            <w:tcW w:w="993" w:type="dxa"/>
            <w:vAlign w:val="center"/>
          </w:tcPr>
          <w:p w:rsidR="001A4CB4" w:rsidRPr="003011E1" w:rsidRDefault="00EF5037" w:rsidP="004F59D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</w:t>
            </w:r>
          </w:p>
        </w:tc>
        <w:tc>
          <w:tcPr>
            <w:tcW w:w="992" w:type="dxa"/>
            <w:vAlign w:val="center"/>
          </w:tcPr>
          <w:p w:rsidR="001A4CB4" w:rsidRPr="003011E1" w:rsidRDefault="00EF5037" w:rsidP="004F59D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</w:t>
            </w:r>
          </w:p>
        </w:tc>
      </w:tr>
      <w:tr w:rsidR="004F59DD" w:rsidRPr="003011E1" w:rsidTr="00DB39C0">
        <w:trPr>
          <w:cantSplit/>
          <w:trHeight w:val="752"/>
        </w:trPr>
        <w:tc>
          <w:tcPr>
            <w:tcW w:w="5495" w:type="dxa"/>
            <w:vMerge/>
            <w:vAlign w:val="center"/>
            <w:hideMark/>
          </w:tcPr>
          <w:p w:rsidR="004F59DD" w:rsidRPr="003011E1" w:rsidRDefault="004F59DD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F59DD" w:rsidRPr="003011E1" w:rsidRDefault="004F59DD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F59DD" w:rsidRPr="003011E1" w:rsidRDefault="004F59DD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4F59DD" w:rsidRPr="003011E1" w:rsidRDefault="004F59DD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4F59DD" w:rsidRPr="003011E1" w:rsidRDefault="004F59DD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07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40"/>
        </w:trPr>
        <w:tc>
          <w:tcPr>
            <w:tcW w:w="5495" w:type="dxa"/>
            <w:vMerge w:val="restart"/>
            <w:vAlign w:val="center"/>
          </w:tcPr>
          <w:p w:rsidR="001A4CB4" w:rsidRPr="003011E1" w:rsidRDefault="00607310" w:rsidP="00607310">
            <w:pPr>
              <w:rPr>
                <w:rFonts w:ascii="Book Antiqua" w:hAnsi="Book Antiqua"/>
              </w:rPr>
            </w:pPr>
            <w:proofErr w:type="gramStart"/>
            <w:r>
              <w:rPr>
                <w:rFonts w:ascii="Book Antiqua" w:hAnsi="Book Antiqua"/>
              </w:rPr>
              <w:t>Д</w:t>
            </w:r>
            <w:r w:rsidR="001A4CB4" w:rsidRPr="003011E1">
              <w:rPr>
                <w:rFonts w:ascii="Book Antiqua" w:hAnsi="Book Antiqua"/>
              </w:rPr>
              <w:t xml:space="preserve">оведение до сведения населения </w:t>
            </w:r>
            <w:r>
              <w:rPr>
                <w:rFonts w:ascii="Book Antiqua" w:hAnsi="Book Antiqua"/>
              </w:rPr>
              <w:t xml:space="preserve">через официальный сайт </w:t>
            </w:r>
            <w:r w:rsidR="001A4CB4" w:rsidRPr="003011E1">
              <w:rPr>
                <w:rFonts w:ascii="Book Antiqua" w:hAnsi="Book Antiqua"/>
              </w:rPr>
              <w:t>оперативной и достоверной информации о важнейших общественно-политических, социально-культурных событиях, о деятельности МА Качинского МО и Совета, состоянии экономики, экологии и других сфер общественной жизни округа, вопросам прав, свобод и обязанностей граждан, их безопасности и другим вопросам,</w:t>
            </w:r>
            <w:r w:rsidR="004F59DD">
              <w:rPr>
                <w:rFonts w:ascii="Book Antiqua" w:hAnsi="Book Antiqua"/>
              </w:rPr>
              <w:t xml:space="preserve"> наглядной продукции, </w:t>
            </w:r>
            <w:r w:rsidR="001A4CB4" w:rsidRPr="003011E1">
              <w:rPr>
                <w:rFonts w:ascii="Book Antiqua" w:hAnsi="Book Antiqua"/>
              </w:rPr>
              <w:t>представляющим общественный интерес, приобретение оборудования</w:t>
            </w:r>
            <w:r w:rsidR="002A1296">
              <w:rPr>
                <w:rFonts w:ascii="Book Antiqua" w:hAnsi="Book Antiqua"/>
              </w:rPr>
              <w:t xml:space="preserve"> и услуг</w:t>
            </w:r>
            <w:proofErr w:type="gramEnd"/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EF5037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 w:rsidR="00EF5037">
              <w:rPr>
                <w:rFonts w:ascii="Book Antiqua" w:hAnsi="Book Antiqua"/>
              </w:rPr>
              <w:t>9</w:t>
            </w:r>
            <w:r w:rsidRPr="003011E1">
              <w:rPr>
                <w:rFonts w:ascii="Book Antiqua" w:hAnsi="Book Antiqua"/>
              </w:rPr>
              <w:t>-20</w:t>
            </w:r>
            <w:r w:rsidR="004F59DD">
              <w:rPr>
                <w:rFonts w:ascii="Book Antiqua" w:hAnsi="Book Antiqua"/>
              </w:rPr>
              <w:t>2</w:t>
            </w:r>
            <w:r w:rsidR="00EF5037">
              <w:rPr>
                <w:rFonts w:ascii="Book Antiqua" w:hAnsi="Book Antiqua"/>
              </w:rPr>
              <w:t>1</w:t>
            </w:r>
            <w:r w:rsidRPr="003011E1">
              <w:rPr>
                <w:rFonts w:ascii="Book Antiqua" w:hAnsi="Book Antiqua"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EF5037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95139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1A4CB4" w:rsidRPr="003011E1" w:rsidRDefault="00EF5037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  <w:r w:rsidR="004F59DD">
              <w:rPr>
                <w:rFonts w:ascii="Book Antiqua" w:hAnsi="Book Antiqua"/>
              </w:rPr>
              <w:t>,0</w:t>
            </w:r>
          </w:p>
        </w:tc>
        <w:tc>
          <w:tcPr>
            <w:tcW w:w="993" w:type="dxa"/>
            <w:vAlign w:val="center"/>
          </w:tcPr>
          <w:p w:rsidR="001A4CB4" w:rsidRPr="003011E1" w:rsidRDefault="00EF5037" w:rsidP="00951391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="001A4CB4" w:rsidRPr="003011E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1A4CB4" w:rsidRPr="003011E1" w:rsidRDefault="00951391" w:rsidP="004F59D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</w:t>
            </w:r>
          </w:p>
        </w:tc>
      </w:tr>
      <w:tr w:rsidR="00951391" w:rsidRPr="003011E1" w:rsidTr="00DB39C0">
        <w:trPr>
          <w:cantSplit/>
          <w:trHeight w:val="706"/>
        </w:trPr>
        <w:tc>
          <w:tcPr>
            <w:tcW w:w="5495" w:type="dxa"/>
            <w:vMerge/>
            <w:vAlign w:val="center"/>
            <w:hideMark/>
          </w:tcPr>
          <w:p w:rsidR="00951391" w:rsidRPr="003011E1" w:rsidRDefault="00951391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951391" w:rsidRPr="003011E1" w:rsidRDefault="00951391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51391" w:rsidRPr="003011E1" w:rsidRDefault="00951391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951391" w:rsidRPr="003011E1" w:rsidRDefault="00951391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951391" w:rsidRPr="003011E1" w:rsidRDefault="00951391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951391" w:rsidRPr="003011E1" w:rsidRDefault="00EF5037" w:rsidP="008519C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="0095139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951391" w:rsidRPr="003011E1" w:rsidRDefault="00EF5037" w:rsidP="008519C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="00951391">
              <w:rPr>
                <w:rFonts w:ascii="Book Antiqua" w:hAnsi="Book Antiqua"/>
              </w:rPr>
              <w:t>,0</w:t>
            </w:r>
          </w:p>
        </w:tc>
        <w:tc>
          <w:tcPr>
            <w:tcW w:w="993" w:type="dxa"/>
            <w:vAlign w:val="center"/>
          </w:tcPr>
          <w:p w:rsidR="00951391" w:rsidRPr="003011E1" w:rsidRDefault="00EF5037" w:rsidP="008519C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</w:t>
            </w:r>
            <w:r w:rsidR="00951391" w:rsidRPr="003011E1">
              <w:rPr>
                <w:rFonts w:ascii="Book Antiqua" w:hAnsi="Book Antiqua"/>
              </w:rPr>
              <w:t>,0</w:t>
            </w:r>
          </w:p>
        </w:tc>
        <w:tc>
          <w:tcPr>
            <w:tcW w:w="992" w:type="dxa"/>
            <w:vAlign w:val="center"/>
          </w:tcPr>
          <w:p w:rsidR="00951391" w:rsidRPr="003011E1" w:rsidRDefault="00951391" w:rsidP="008519C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0,00</w:t>
            </w:r>
          </w:p>
        </w:tc>
      </w:tr>
      <w:tr w:rsidR="001A4CB4" w:rsidRPr="003011E1" w:rsidTr="00DB39C0">
        <w:trPr>
          <w:cantSplit/>
          <w:trHeight w:val="1067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</w:tr>
      <w:tr w:rsidR="004F59DD" w:rsidRPr="003011E1" w:rsidTr="00DB39C0">
        <w:trPr>
          <w:cantSplit/>
          <w:trHeight w:val="477"/>
        </w:trPr>
        <w:tc>
          <w:tcPr>
            <w:tcW w:w="5495" w:type="dxa"/>
            <w:vMerge w:val="restart"/>
            <w:vAlign w:val="center"/>
          </w:tcPr>
          <w:p w:rsidR="004F59DD" w:rsidRPr="003011E1" w:rsidRDefault="004F59DD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lastRenderedPageBreak/>
              <w:t>Проведение общественных слушаний, опросов, сходов граждан по вопросам обсуждения проектов муниципальных правовых актов, изучения мнения граждан о деятельности органов местного самоуправления, изучение спроса на муниципальные услуги.</w:t>
            </w:r>
          </w:p>
        </w:tc>
        <w:tc>
          <w:tcPr>
            <w:tcW w:w="1984" w:type="dxa"/>
            <w:vMerge w:val="restart"/>
            <w:vAlign w:val="center"/>
          </w:tcPr>
          <w:p w:rsidR="004F59DD" w:rsidRPr="003011E1" w:rsidRDefault="004F59DD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Общий отдел МА Качинского МО</w:t>
            </w:r>
          </w:p>
        </w:tc>
        <w:tc>
          <w:tcPr>
            <w:tcW w:w="1134" w:type="dxa"/>
            <w:vMerge w:val="restart"/>
            <w:vAlign w:val="center"/>
          </w:tcPr>
          <w:p w:rsidR="004F59DD" w:rsidRPr="003011E1" w:rsidRDefault="004F59DD" w:rsidP="00F163B4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201</w:t>
            </w:r>
            <w:r w:rsidR="00F163B4">
              <w:rPr>
                <w:rFonts w:ascii="Book Antiqua" w:hAnsi="Book Antiqua"/>
              </w:rPr>
              <w:t>9</w:t>
            </w:r>
            <w:r w:rsidRPr="003011E1">
              <w:rPr>
                <w:rFonts w:ascii="Book Antiqua" w:hAnsi="Book Antiqua"/>
              </w:rPr>
              <w:t>-20</w:t>
            </w:r>
            <w:r>
              <w:rPr>
                <w:rFonts w:ascii="Book Antiqua" w:hAnsi="Book Antiqua"/>
              </w:rPr>
              <w:t>2</w:t>
            </w:r>
            <w:r w:rsidR="00F163B4">
              <w:rPr>
                <w:rFonts w:ascii="Book Antiqua" w:hAnsi="Book Antiqua"/>
              </w:rPr>
              <w:t>1</w:t>
            </w:r>
            <w:r w:rsidRPr="003011E1">
              <w:rPr>
                <w:rFonts w:ascii="Book Antiqua" w:hAnsi="Book Antiqua"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4F59DD" w:rsidRPr="003011E1" w:rsidRDefault="004F59DD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Всего</w:t>
            </w:r>
          </w:p>
        </w:tc>
        <w:tc>
          <w:tcPr>
            <w:tcW w:w="992" w:type="dxa"/>
            <w:vAlign w:val="center"/>
          </w:tcPr>
          <w:p w:rsidR="004F59DD" w:rsidRPr="003011E1" w:rsidRDefault="00EE3207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4F59DD" w:rsidRPr="003011E1" w:rsidRDefault="00EE3207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4F59DD" w:rsidRPr="003011E1" w:rsidRDefault="002A1296" w:rsidP="00EC41F3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83"/>
        </w:trPr>
        <w:tc>
          <w:tcPr>
            <w:tcW w:w="5495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  <w:hideMark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Местный</w:t>
            </w:r>
          </w:p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бюджет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2A129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684"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</w:rPr>
            </w:pPr>
            <w:r w:rsidRPr="003011E1">
              <w:rPr>
                <w:rFonts w:ascii="Book Antiqua" w:hAnsi="Book Antiqua"/>
              </w:rPr>
              <w:t>-</w:t>
            </w:r>
          </w:p>
        </w:tc>
      </w:tr>
      <w:tr w:rsidR="001A4CB4" w:rsidRPr="003011E1" w:rsidTr="00DB39C0">
        <w:trPr>
          <w:cantSplit/>
          <w:trHeight w:val="425"/>
        </w:trPr>
        <w:tc>
          <w:tcPr>
            <w:tcW w:w="5495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ИТОГО:</w:t>
            </w:r>
          </w:p>
        </w:tc>
        <w:tc>
          <w:tcPr>
            <w:tcW w:w="1984" w:type="dxa"/>
            <w:vMerge w:val="restart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4CB4" w:rsidRPr="003011E1" w:rsidRDefault="001A4CB4" w:rsidP="00F163B4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201</w:t>
            </w:r>
            <w:r w:rsidR="00F163B4">
              <w:rPr>
                <w:rFonts w:ascii="Book Antiqua" w:hAnsi="Book Antiqua"/>
                <w:b/>
              </w:rPr>
              <w:t>9</w:t>
            </w:r>
            <w:r w:rsidRPr="003011E1">
              <w:rPr>
                <w:rFonts w:ascii="Book Antiqua" w:hAnsi="Book Antiqua"/>
                <w:b/>
              </w:rPr>
              <w:t>-20</w:t>
            </w:r>
            <w:r w:rsidR="004F59DD">
              <w:rPr>
                <w:rFonts w:ascii="Book Antiqua" w:hAnsi="Book Antiqua"/>
                <w:b/>
              </w:rPr>
              <w:t>2</w:t>
            </w:r>
            <w:r w:rsidR="00F163B4">
              <w:rPr>
                <w:rFonts w:ascii="Book Antiqua" w:hAnsi="Book Antiqua"/>
                <w:b/>
              </w:rPr>
              <w:t>1</w:t>
            </w:r>
            <w:r w:rsidRPr="003011E1">
              <w:rPr>
                <w:rFonts w:ascii="Book Antiqua" w:hAnsi="Book Antiqua"/>
                <w:b/>
              </w:rPr>
              <w:t xml:space="preserve"> годы</w:t>
            </w: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Всего</w:t>
            </w:r>
          </w:p>
        </w:tc>
        <w:tc>
          <w:tcPr>
            <w:tcW w:w="992" w:type="dxa"/>
            <w:vAlign w:val="center"/>
          </w:tcPr>
          <w:p w:rsidR="001A4CB4" w:rsidRPr="003011E1" w:rsidRDefault="00F14DF0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55</w:t>
            </w:r>
            <w:r w:rsidR="001A4CB4"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1A4CB4" w:rsidRPr="003011E1" w:rsidRDefault="004F59DD" w:rsidP="00F14DF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5</w:t>
            </w:r>
            <w:r w:rsidR="00F14DF0">
              <w:rPr>
                <w:rFonts w:ascii="Book Antiqua" w:hAnsi="Book Antiqua"/>
                <w:b/>
              </w:rPr>
              <w:t>5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3" w:type="dxa"/>
            <w:vAlign w:val="center"/>
          </w:tcPr>
          <w:p w:rsidR="001A4CB4" w:rsidRPr="003011E1" w:rsidRDefault="004F59DD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1A4CB4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  <w:r w:rsidR="004F59DD">
              <w:rPr>
                <w:rFonts w:ascii="Book Antiqua" w:hAnsi="Book Antiqua"/>
                <w:b/>
              </w:rPr>
              <w:t>0</w:t>
            </w:r>
            <w:r w:rsidR="004F59DD" w:rsidRPr="003011E1">
              <w:rPr>
                <w:rFonts w:ascii="Book Antiqua" w:hAnsi="Book Antiqua"/>
                <w:b/>
              </w:rPr>
              <w:t>,0</w:t>
            </w:r>
          </w:p>
        </w:tc>
      </w:tr>
      <w:tr w:rsidR="002A1296" w:rsidRPr="003011E1" w:rsidTr="00DB39C0">
        <w:trPr>
          <w:cantSplit/>
        </w:trPr>
        <w:tc>
          <w:tcPr>
            <w:tcW w:w="5495" w:type="dxa"/>
            <w:vMerge/>
            <w:vAlign w:val="center"/>
          </w:tcPr>
          <w:p w:rsidR="002A1296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2A1296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2A1296" w:rsidRPr="003011E1" w:rsidRDefault="002A1296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Align w:val="center"/>
          </w:tcPr>
          <w:p w:rsidR="002A1296" w:rsidRPr="003011E1" w:rsidRDefault="002A1296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Местный</w:t>
            </w:r>
          </w:p>
          <w:p w:rsidR="002A1296" w:rsidRPr="003011E1" w:rsidRDefault="002A1296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бюджет</w:t>
            </w:r>
          </w:p>
        </w:tc>
        <w:tc>
          <w:tcPr>
            <w:tcW w:w="992" w:type="dxa"/>
            <w:vAlign w:val="center"/>
          </w:tcPr>
          <w:p w:rsidR="002A1296" w:rsidRPr="003011E1" w:rsidRDefault="00F163B4" w:rsidP="008519C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  <w:r w:rsidR="002A1296"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2A1296" w:rsidRPr="003011E1" w:rsidRDefault="002A1296" w:rsidP="008519C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3" w:type="dxa"/>
            <w:vAlign w:val="center"/>
          </w:tcPr>
          <w:p w:rsidR="002A1296" w:rsidRPr="003011E1" w:rsidRDefault="002A1296" w:rsidP="008519C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  <w:tc>
          <w:tcPr>
            <w:tcW w:w="992" w:type="dxa"/>
            <w:vAlign w:val="center"/>
          </w:tcPr>
          <w:p w:rsidR="002A1296" w:rsidRPr="003011E1" w:rsidRDefault="002A1296" w:rsidP="008519C2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00</w:t>
            </w:r>
            <w:r w:rsidRPr="003011E1">
              <w:rPr>
                <w:rFonts w:ascii="Book Antiqua" w:hAnsi="Book Antiqua"/>
                <w:b/>
              </w:rPr>
              <w:t>,0</w:t>
            </w:r>
          </w:p>
        </w:tc>
      </w:tr>
      <w:tr w:rsidR="001A4CB4" w:rsidRPr="003011E1" w:rsidTr="00DB39C0">
        <w:trPr>
          <w:cantSplit/>
        </w:trPr>
        <w:tc>
          <w:tcPr>
            <w:tcW w:w="5495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985" w:type="dxa"/>
            <w:vAlign w:val="center"/>
          </w:tcPr>
          <w:p w:rsidR="001A4CB4" w:rsidRPr="003011E1" w:rsidRDefault="001A4CB4" w:rsidP="00DB39C0">
            <w:pPr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  <w:tc>
          <w:tcPr>
            <w:tcW w:w="992" w:type="dxa"/>
            <w:vAlign w:val="center"/>
          </w:tcPr>
          <w:p w:rsidR="001A4CB4" w:rsidRPr="003011E1" w:rsidRDefault="001A4CB4" w:rsidP="00DB39C0">
            <w:pPr>
              <w:jc w:val="center"/>
              <w:rPr>
                <w:rFonts w:ascii="Book Antiqua" w:hAnsi="Book Antiqua"/>
                <w:b/>
              </w:rPr>
            </w:pPr>
            <w:r w:rsidRPr="003011E1">
              <w:rPr>
                <w:rFonts w:ascii="Book Antiqua" w:hAnsi="Book Antiqua"/>
                <w:b/>
              </w:rPr>
              <w:t>-</w:t>
            </w:r>
          </w:p>
        </w:tc>
      </w:tr>
    </w:tbl>
    <w:p w:rsidR="001A4CB4" w:rsidRPr="003011E1" w:rsidRDefault="001A4CB4" w:rsidP="001A4CB4">
      <w:pPr>
        <w:shd w:val="clear" w:color="auto" w:fill="FFFFFF"/>
        <w:spacing w:after="150"/>
        <w:rPr>
          <w:rFonts w:ascii="Book Antiqua" w:hAnsi="Book Antiqua"/>
          <w:color w:val="000000"/>
        </w:rPr>
      </w:pPr>
    </w:p>
    <w:p w:rsidR="00BA1611" w:rsidRDefault="00BA1611" w:rsidP="005865AE">
      <w:pPr>
        <w:shd w:val="clear" w:color="auto" w:fill="FFFFFF"/>
      </w:pPr>
    </w:p>
    <w:sectPr w:rsidR="00BA1611" w:rsidSect="0045633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DD" w:rsidRDefault="003074DD">
      <w:r>
        <w:separator/>
      </w:r>
    </w:p>
  </w:endnote>
  <w:endnote w:type="continuationSeparator" w:id="0">
    <w:p w:rsidR="003074DD" w:rsidRDefault="0030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DD" w:rsidRDefault="003074DD">
      <w:r>
        <w:separator/>
      </w:r>
    </w:p>
  </w:footnote>
  <w:footnote w:type="continuationSeparator" w:id="0">
    <w:p w:rsidR="003074DD" w:rsidRDefault="00307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CB4" w:rsidRDefault="001A4CB4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A4CB4" w:rsidRDefault="001A4CB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0D34"/>
    <w:rsid w:val="00112893"/>
    <w:rsid w:val="00112B5C"/>
    <w:rsid w:val="001134E5"/>
    <w:rsid w:val="00113951"/>
    <w:rsid w:val="00113D28"/>
    <w:rsid w:val="00113D56"/>
    <w:rsid w:val="00116C58"/>
    <w:rsid w:val="00116FDE"/>
    <w:rsid w:val="00117230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CB4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5B1C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03E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39F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465"/>
    <w:rsid w:val="00291C84"/>
    <w:rsid w:val="00292386"/>
    <w:rsid w:val="0029242A"/>
    <w:rsid w:val="00292BA6"/>
    <w:rsid w:val="00296502"/>
    <w:rsid w:val="0029740D"/>
    <w:rsid w:val="002A01BA"/>
    <w:rsid w:val="002A1226"/>
    <w:rsid w:val="002A129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074DD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67C57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4FA6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183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59DD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0BCD"/>
    <w:rsid w:val="00603C78"/>
    <w:rsid w:val="0060434E"/>
    <w:rsid w:val="00604725"/>
    <w:rsid w:val="00606664"/>
    <w:rsid w:val="006067A9"/>
    <w:rsid w:val="00607310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1CFD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4A6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582F"/>
    <w:rsid w:val="006A7EDA"/>
    <w:rsid w:val="006B1622"/>
    <w:rsid w:val="006B2C04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3BD4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C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5395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51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77C48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3AD0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6C9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2C33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1391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2C3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515C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B749C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4A15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19E8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4C46"/>
    <w:rsid w:val="00D27F5B"/>
    <w:rsid w:val="00D3539C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7B6"/>
    <w:rsid w:val="00D56D7F"/>
    <w:rsid w:val="00D60F0D"/>
    <w:rsid w:val="00D60F84"/>
    <w:rsid w:val="00D61EDC"/>
    <w:rsid w:val="00D6427C"/>
    <w:rsid w:val="00D661DF"/>
    <w:rsid w:val="00D67305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5DDA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12A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26338"/>
    <w:rsid w:val="00E26458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5B0E"/>
    <w:rsid w:val="00E86DDB"/>
    <w:rsid w:val="00E87BF1"/>
    <w:rsid w:val="00E87FE6"/>
    <w:rsid w:val="00E93C9C"/>
    <w:rsid w:val="00E94FCC"/>
    <w:rsid w:val="00E95050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E3207"/>
    <w:rsid w:val="00EF02F7"/>
    <w:rsid w:val="00EF1CDE"/>
    <w:rsid w:val="00EF239A"/>
    <w:rsid w:val="00EF5037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14DF0"/>
    <w:rsid w:val="00F163B4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2EB5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1BD4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C5A4-A012-457F-A5A4-0EB38FB9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13</Pages>
  <Words>3379</Words>
  <Characters>19262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22596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27</cp:revision>
  <cp:lastPrinted>2016-11-25T06:59:00Z</cp:lastPrinted>
  <dcterms:created xsi:type="dcterms:W3CDTF">2016-11-24T10:49:00Z</dcterms:created>
  <dcterms:modified xsi:type="dcterms:W3CDTF">2018-12-11T12:11:00Z</dcterms:modified>
</cp:coreProperties>
</file>