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0" distL="0" distR="0">
            <wp:extent cx="762000" cy="972185"/>
            <wp:effectExtent l="0" t="0" r="0" b="0"/>
            <wp:docPr id="1" name="Рисунок 3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>156-МА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11 ноября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 муниципальную программу «Развитие культуры внутригородского муниципального образования города Севастополя Качинский муниципальный округ», утвержденную Постановлением от 03.12.201</w:t>
            </w:r>
            <w:r>
              <w:rPr>
                <w:rFonts w:eastAsia="Times New Roman" w:cs="Times New Roman" w:ascii="Book Antiqua" w:hAnsi="Book Antiqua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г. №166-МА и утверждении ее в новой редакции</w:t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В соответствии с Постановлением местной администрации Качинского муниципального округа от 11.11.2019 г. №154-МА, в соответствии со  </w:t>
      </w:r>
      <w:bookmarkStart w:id="0" w:name="__DdeLink__1122_31878635"/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статьей 179 Бюджетного кодекса Российской Федерации</w:t>
      </w:r>
      <w:bookmarkEnd w:id="0"/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, Федеральным  законом от 06.10.2003 № 131-ФЗ «Об общих принципах организации местного самоуправления в Российской Федерации», Законом города Севастополя  от 30.12.2014 № 102-ЗС «О местном самоуправлении в городе Севастополе», в соответствии с 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>
        <w:rPr>
          <w:rFonts w:cs="Book Antiqua" w:ascii="Book Antiqua" w:hAnsi="Book Antiqua"/>
          <w:b w:val="false"/>
          <w:sz w:val="24"/>
          <w:szCs w:val="24"/>
        </w:rPr>
        <w:t xml:space="preserve"> утвержденного </w:t>
      </w:r>
      <w:r>
        <w:rPr>
          <w:rFonts w:ascii="Book Antiqua" w:hAnsi="Book Antiqua"/>
          <w:b w:val="false"/>
          <w:sz w:val="24"/>
          <w:szCs w:val="24"/>
        </w:rPr>
        <w:t>решением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 w:val="false"/>
          <w:sz w:val="24"/>
          <w:szCs w:val="24"/>
        </w:rPr>
        <w:t>Совета Качинского муниципального округа от 19.03.2015 № 13,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>
        <w:rPr>
          <w:rFonts w:cs="Arial" w:ascii="Book Antiqua" w:hAnsi="Book Antiqua"/>
          <w:sz w:val="24"/>
          <w:szCs w:val="24"/>
        </w:rPr>
        <w:t>Внести изменения в муниципальную программу «Развитие культуры внутригородского муниципального образования города Севастополя Качинский муниципальный округ»</w:t>
      </w:r>
      <w:r>
        <w:rPr/>
        <w:t xml:space="preserve"> </w:t>
      </w:r>
      <w:r>
        <w:rPr>
          <w:rFonts w:cs="Arial" w:ascii="Book Antiqua" w:hAnsi="Book Antiqua"/>
          <w:sz w:val="24"/>
          <w:szCs w:val="24"/>
        </w:rPr>
        <w:t>и утвердить ее в новой редакции</w:t>
      </w:r>
      <w:r>
        <w:rPr>
          <w:rFonts w:cs="Book Antiqua" w:ascii="Book Antiqua" w:hAnsi="Book Antiqua"/>
          <w:sz w:val="24"/>
          <w:szCs w:val="24"/>
        </w:rPr>
        <w:t xml:space="preserve"> (</w:t>
      </w:r>
      <w:r>
        <w:rPr>
          <w:rFonts w:cs="Book Antiqua" w:ascii="Book Antiqua" w:hAnsi="Book Antiqua"/>
          <w:caps/>
          <w:sz w:val="24"/>
          <w:szCs w:val="24"/>
        </w:rPr>
        <w:t>Приложение</w:t>
      </w:r>
      <w:r>
        <w:rPr>
          <w:rFonts w:cs="Book Antiqua" w:ascii="Book Antiqua" w:hAnsi="Book Antiqua"/>
          <w:sz w:val="24"/>
          <w:szCs w:val="24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3. Настоящее постановление вступает в силу с 01 января 2020 года.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4.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29"/>
        <w:gridCol w:w="1504"/>
        <w:gridCol w:w="2402"/>
      </w:tblGrid>
      <w:tr>
        <w:trPr/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/>
      </w:pPr>
      <w:bookmarkStart w:id="1" w:name="_GoBack"/>
      <w:bookmarkEnd w:id="1"/>
      <w:r>
        <w:rPr>
          <w:rFonts w:cs="Book Antiqua" w:ascii="Book Antiqua" w:hAnsi="Book Antiqua"/>
          <w:caps/>
          <w:sz w:val="20"/>
          <w:szCs w:val="20"/>
        </w:rPr>
        <w:t>Приложение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                        от 11.11.2019 г.  № 156  -МА</w:t>
      </w:r>
    </w:p>
    <w:p>
      <w:pPr>
        <w:pStyle w:val="ConsPlusNormal"/>
        <w:ind w:firstLine="540"/>
        <w:jc w:val="right"/>
        <w:rPr>
          <w:rFonts w:ascii="Book Antiqua" w:hAnsi="Book Antiqua"/>
          <w:b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</w:rPr>
      </w:r>
      <w:bookmarkStart w:id="2" w:name="Par34"/>
      <w:bookmarkStart w:id="3" w:name="Par34"/>
      <w:bookmarkEnd w:id="3"/>
    </w:p>
    <w:p>
      <w:pPr>
        <w:pStyle w:val="Normal"/>
        <w:jc w:val="center"/>
        <w:rPr/>
      </w:pPr>
      <w:r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>
      <w:pPr>
        <w:pStyle w:val="Normal"/>
        <w:jc w:val="center"/>
        <w:rPr>
          <w:rFonts w:ascii="Book Antiqua" w:hAnsi="Book Antiqua"/>
          <w:b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</w:rPr>
      </w:r>
    </w:p>
    <w:p>
      <w:pPr>
        <w:pStyle w:val="Normal"/>
        <w:jc w:val="center"/>
        <w:rPr>
          <w:rFonts w:ascii="Book Antiqua" w:hAnsi="Book Antiqua"/>
          <w:b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28"/>
          <w:szCs w:val="28"/>
        </w:rPr>
        <w:t>«Развитие культуры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/>
      </w:pPr>
      <w:r>
        <w:rPr>
          <w:rFonts w:ascii="Book Antiqua" w:hAnsi="Book Antiqua"/>
        </w:rPr>
        <w:t>п. Кача</w:t>
      </w:r>
    </w:p>
    <w:p>
      <w:pPr>
        <w:pStyle w:val="Normal"/>
        <w:jc w:val="center"/>
        <w:rPr/>
      </w:pPr>
      <w:r>
        <w:rPr>
          <w:rFonts w:ascii="Book Antiqua" w:hAnsi="Book Antiqua"/>
        </w:rPr>
        <w:t>2019</w:t>
      </w:r>
    </w:p>
    <w:p>
      <w:pPr>
        <w:pStyle w:val="Normal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28"/>
          <w:szCs w:val="28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округ»</w:t>
      </w:r>
    </w:p>
    <w:tbl>
      <w:tblPr>
        <w:tblW w:w="10065" w:type="dxa"/>
        <w:jc w:val="left"/>
        <w:tblInd w:w="-351" w:type="dxa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92"/>
        <w:gridCol w:w="6672"/>
      </w:tblGrid>
      <w:tr>
        <w:trPr>
          <w:trHeight w:val="400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>
        <w:trPr/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ind w:left="0" w:hanging="284"/>
              <w:rPr>
                <w:rFonts w:ascii="Book Antiqua" w:hAnsi="Book Antiqua"/>
              </w:rPr>
            </w:pPr>
            <w:r>
              <w:rPr>
                <w:rFonts w:cs="Arial" w:ascii="Book Antiqua" w:hAnsi="Book Antiqua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>
        <w:trPr/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«Праздники»;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>
        <w:trPr/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создание благоприятных социальных, творческих и организационно-правовых условий для воспитания и развития жителей округа, особенно молодых граждан</w:t>
            </w:r>
          </w:p>
        </w:tc>
      </w:tr>
      <w:tr>
        <w:trPr/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0" w:hanging="28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>
            <w:pPr>
              <w:pStyle w:val="Normal"/>
              <w:numPr>
                <w:ilvl w:val="0"/>
                <w:numId w:val="3"/>
              </w:numPr>
              <w:ind w:left="350" w:hanging="28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00"/>
              <w:ind w:left="350" w:hanging="28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>
        <w:trPr>
          <w:trHeight w:val="400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</w:rPr>
              <w:t>Срок реализации 20</w:t>
            </w:r>
            <w:r>
              <w:rPr>
                <w:rFonts w:eastAsia="SimSun" w:cs="Calibri" w:ascii="Book Antiqua" w:hAnsi="Book Antiqua"/>
                <w:color w:val="00000A"/>
                <w:kern w:val="0"/>
                <w:sz w:val="22"/>
                <w:szCs w:val="22"/>
                <w:lang w:val="ru-RU" w:eastAsia="en-US" w:bidi="ar-SA"/>
              </w:rPr>
              <w:t>20</w:t>
            </w:r>
            <w:r>
              <w:rPr>
                <w:rFonts w:ascii="Book Antiqua" w:hAnsi="Book Antiqua"/>
              </w:rPr>
              <w:t xml:space="preserve"> – 2022 годы</w:t>
            </w:r>
          </w:p>
        </w:tc>
      </w:tr>
      <w:tr>
        <w:trPr>
          <w:trHeight w:val="1715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Финансирование осуществляется за счёт средств бюджета внутригородского муниципального образования города Севастополя Качинский муниципальный округ 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Book Antiqua" w:hAnsi="Book Antiqua"/>
              </w:rPr>
              <w:t>2020 год –  1 125,0  тыс.руб.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Book Antiqua" w:hAnsi="Book Antiqua"/>
              </w:rPr>
              <w:t>2021 год – 0, 0 тыс.руб.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</w:rPr>
              <w:t>2022 год –  0,0 тыс.руб.</w:t>
            </w:r>
          </w:p>
        </w:tc>
      </w:tr>
      <w:tr>
        <w:trPr>
          <w:trHeight w:val="709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Привлечение творческих коллективов и жителей к культурной жизни на территории Качинского муниципального округа</w:t>
            </w:r>
          </w:p>
        </w:tc>
      </w:tr>
    </w:tbl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</w:r>
      <w:r>
        <w:br w:type="page"/>
      </w:r>
    </w:p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Муниципальная целевая программа «Развитие культуры внутригородского муниципального образования города Севастополя Качинский муниципальный округ»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>
      <w:pPr>
        <w:pStyle w:val="Normal"/>
        <w:tabs>
          <w:tab w:val="clear" w:pos="709"/>
          <w:tab w:val="left" w:pos="104" w:leader="none"/>
        </w:tabs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4"/>
          <w:szCs w:val="24"/>
        </w:rPr>
        <w:t>- Постановлением Правительства Российской Федерации от 15.04.2014 № 317 «Об утверждении государственной программы Российской Федерации «Развитие культуры и туризма» на 2013-2020 годы»;</w:t>
      </w:r>
    </w:p>
    <w:p>
      <w:pPr>
        <w:pStyle w:val="Normal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4"/>
          <w:szCs w:val="24"/>
        </w:rPr>
        <w:t xml:space="preserve">- </w:t>
      </w:r>
      <w:r>
        <w:rPr>
          <w:rFonts w:cs="Arial" w:ascii="Book Antiqua" w:hAnsi="Book Antiqua"/>
          <w:sz w:val="24"/>
          <w:szCs w:val="24"/>
        </w:rPr>
        <w:t>Закон города Севастополя  от 30.12.2014 № 102-ЗС «О местном самоуправлении в городе Севастополе»;</w:t>
      </w:r>
    </w:p>
    <w:p>
      <w:pPr>
        <w:pStyle w:val="Normal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4"/>
          <w:szCs w:val="24"/>
        </w:rPr>
        <w:t xml:space="preserve">- </w:t>
      </w:r>
      <w:r>
        <w:rPr>
          <w:rFonts w:cs="Arial" w:ascii="Book Antiqua" w:hAnsi="Book Antiqua"/>
          <w:sz w:val="24"/>
          <w:szCs w:val="24"/>
        </w:rPr>
        <w:t>Уставом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  <w:sz w:val="24"/>
          <w:szCs w:val="24"/>
        </w:rPr>
        <w:t>;</w:t>
      </w:r>
    </w:p>
    <w:p>
      <w:pPr>
        <w:pStyle w:val="Normal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4"/>
          <w:szCs w:val="24"/>
        </w:rPr>
        <w:t xml:space="preserve">- </w:t>
      </w:r>
      <w:r>
        <w:rPr>
          <w:rFonts w:cs="Arial" w:ascii="Book Antiqua" w:hAnsi="Book Antiqua"/>
          <w:sz w:val="24"/>
          <w:szCs w:val="24"/>
        </w:rPr>
        <w:t>Решение Совета Качинского муниципального округа от 11.09.2015 № 10/71«Об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Продолжая  традиции,  заложенные  в  российском  обществе  по  возрождению духовности, становлению национальной культуры, созданию условий для развития социальной  и  культурной  самореализации  личности,  органы  государственной власти  и  местного  самоуправления  призваны  оказывать  всяческое  содействие  и поддержку  учреждениям  культуры  в  их  основной  деятельности  –  организации содержательного  досуга  населения,  способствовать  удовлетворению  культурных потребностей  граждан,  обеспечению  их  участия  в  общественной  и  культурной жизни, повышению социальной роли сферы культуры в целом.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Программа  направлена  на  реализацию  ее  приоритетных  направлений  в развитии  культуры, обеспечения концентрации финансовых,  и других ресурсов,  а  также  координации  деятельности учреждений  и организаций для решения актуальных проблем развития культуры. 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Программа  призвана  способствовать  сохранению  и  развитию  учреждений культуры, находящихся на территории  Качинского муниципального округа.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Реализуя полномочия органов местного самоуправления в сфере культуры Качинского муниципального округа сталкиваются с такими системными проблемами, как: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 </w:t>
      </w:r>
      <w:r>
        <w:rPr>
          <w:rFonts w:cs="Arial" w:ascii="Book Antiqua" w:hAnsi="Book Antiqua"/>
          <w:sz w:val="24"/>
          <w:szCs w:val="24"/>
        </w:rPr>
        <w:t>- неоднородность и неравномерность обеспечения населения Качинского муниципального округа услугами организаций культуры;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утрата частью населения Качинского муниципального округа, особенно молодежью, основ традиционной народной культуры;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снижение конкурентоспособности бюджетной культуры по сравнению с коммерческой развлекательной культурой.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Актуальность решения обозначенных вопросов, направленных на улучшение культурной составляющей качества жизни населения Качинского муниципального округа, определяется основными направлениями государственной политики по развитию сферы культуры и массовых коммуникаций в Российской Федерации.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Муниципальная программа «Развитие культуры внутригородского муниципального образования города Севастополя Качинского муниципального округа»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и повышения привлекательности услуг, оказываемых муниципальными учреждениями культуры жителям.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Отрасль культуры нашего округа сегодня - это широкий спектр досуговых, воспитательно-образовательных и информационных услуг. Практически все учащиеся ежегодно принимают участие в культурно-зрелищных мероприятиях.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Созданием условий для расширения потребительского рынка услуг в сфере культурного досуга занимается местная администрация Качинского муниципального округа. 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округа.</w:t>
      </w:r>
    </w:p>
    <w:p>
      <w:pPr>
        <w:pStyle w:val="Normal"/>
        <w:widowControl w:val="false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В то же время, несмотря на предпринимаемые усилия, остались нерешенными проблемы: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</w:tabs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- увеличивается число учреждений культуры, находящихся в неудовлетворительном состоянии;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</w:tabs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 </w:t>
      </w:r>
      <w:r>
        <w:rPr>
          <w:rFonts w:cs="Arial" w:ascii="Book Antiqua" w:hAnsi="Book Antiqua"/>
          <w:sz w:val="24"/>
          <w:szCs w:val="24"/>
        </w:rPr>
        <w:t xml:space="preserve">-  учреждения культуры Качинского муниципального округа нуждаются в государственной поддержке, поскольку в силу особенностей округа, невысокой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учреждений культуры. 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</w:tabs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Программа определяет стратегию развития отрасли культуры в  Качинском муниципальном округе.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Целью  Программы  является  создание  условий  для  эффективной  деятельности  учреждений  культуры, общественных организаций и творческих объединений, повышение  роли  культуры  в воспитании  и  в обеспечении  досуга  жителей округа,  увеличение  количества  населения участвующих  в  культурных  мероприятиях,  всестороннее  развитие  культуры  для содействия  нравственному,  культурному  и  духовному  развитию  граждан, воспитание их в духе патриотизма и любви к Родине, подготовки и проведения на высоком уровне культурно-массовых, досуговых мероприятий, способствование повышения активности жителей округа посредством вовлечения населения в культурную, творческую, коммуникативную деятельность.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Основные задачи Программы: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рост посещаемости населением Качинского муниципального округа           проводимых мероприятий;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сохранение и развитие национальной культуры;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-  увеличение охвата социально незащищённых людей социокультурными услугами;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- стимулирование и поддерживание участия граждан в общественной жизни муниципального образования;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удовлетворение потребности жителей Качинского муниципального округа пожилого возраста в доступности посещения концертов, выставок и парков округа;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- укрепление и повышение патриотизма детей и молодежи в рамках культурно-патриотических мероприятий;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- организация поздравлений и награждений трудовых и творческих коллективов и заслуженных людей муниципального округа, ветеранов, людей пожилого возраста, представителей незащищенных слоев населения с профессиональными праздниками, юбилейными датами, знаменательными и памятными датами в жизни внутригородского муниципального образования города Севастополя Качинский муниципальный округ, города Федерального значения Севастополя, Российской Федерации; 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- развитие и совершенствование системы военно-патриотического воспитания граждан, проживающих в Качинском муниципальном округе;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поддерживать инициативу внедрения инновационных форм военно-патриотического воспитания, в том числе используя возможности учреждений культуры и музеи, находящиеся на территории Качинского муниципального округа.</w:t>
      </w:r>
    </w:p>
    <w:p>
      <w:pPr>
        <w:pStyle w:val="Normal"/>
        <w:tabs>
          <w:tab w:val="clear" w:pos="709"/>
          <w:tab w:val="left" w:pos="142" w:leader="none"/>
        </w:tabs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Показатели (целевые  индикаторы) Программы  представлены  в Приложении 1 к Программе.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Реализация  системы  программных  мероприятий  позволит  создать благоприятные  условия  для  успешного  функционирования  объектов  культуры.  Всестороннее  развитие  культуры  в  процессе  реализации  Программы  будет  способствовать  сохранению  лучших  традиций  и  продвижению новации  в культурную жизнь общества, нравственному, культурному и духовному развитию молодых граждан, привлечению широких слоев населения к культурной жизни  Качинского  муниципального  округа,  воспитанию  патриотизма  и гражданской ответственности среди молодежи.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Программа реализуется в один этап.</w:t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3. Обоснование объёма финансовых ресурсов, необходимых для реализации Программы, основные мероприятия</w:t>
      </w:r>
    </w:p>
    <w:p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Ответственным исполнителем Программы является Общий отдел местной администрации Качинского муниципального округа.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культурно-зрелищных мероприятиях в результате реализации Программы.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Финансирование Программы проводится за счёт средств местного бюджета.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Качинский муниципальный округ».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Качинского муниципального округа.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Для обеспечения выполнения задач Программы предусматривается осуществление следующих мер: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- определение приоритетности мероприятий для населения, и их роль в создании положительного имиджа муниципального округа;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формирование Программы на основе заявок и предложений учреждений культуры округа, руководителей творческих и трудовых коллективов, общественных союзов, объединений и организаций.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Перечень основных мероприятий и ресурсное обеспечение Программы приведены в Приложении 2, 3 к Программе.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4. Анализ рисков реализации Программы, меры управления рисками</w:t>
      </w:r>
    </w:p>
    <w:p>
      <w:pPr>
        <w:pStyle w:val="Normal"/>
        <w:shd w:val="clear" w:color="auto" w:fill="FFFFFF"/>
        <w:ind w:left="-78" w:firstLine="787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b/>
          <w:i/>
          <w:sz w:val="24"/>
          <w:szCs w:val="24"/>
        </w:rPr>
        <w:t>Правовые риски</w:t>
      </w:r>
      <w:r>
        <w:rPr>
          <w:rFonts w:cs="Arial" w:ascii="Book Antiqua" w:hAnsi="Book Antiqua"/>
          <w:sz w:val="24"/>
          <w:szCs w:val="24"/>
        </w:rPr>
        <w:t xml:space="preserve"> 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Для минимизации воздействия данной группы рисков планируется: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b/>
          <w:i/>
          <w:sz w:val="24"/>
          <w:szCs w:val="24"/>
        </w:rPr>
        <w:t>Финансовые риски</w:t>
      </w:r>
      <w:r>
        <w:rPr>
          <w:rFonts w:cs="Arial" w:ascii="Book Antiqua" w:hAnsi="Book Antiqua"/>
          <w:sz w:val="24"/>
          <w:szCs w:val="24"/>
        </w:rPr>
        <w:t xml:space="preserve"> связаны 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Способами ограничения финансовых рисков выступают: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определение приоритетов для первоочередного финансирования;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планирование бюджетных расходов с применением методик оценки эффективности бюджетных расходов;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привлечение внебюджетного финансирования.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b/>
          <w:i/>
          <w:sz w:val="24"/>
          <w:szCs w:val="24"/>
        </w:rPr>
        <w:t>Административные риски.</w:t>
      </w:r>
      <w:r>
        <w:rPr>
          <w:rFonts w:cs="Arial" w:ascii="Book Antiqua" w:hAnsi="Book Antiqua"/>
          <w:sz w:val="24"/>
          <w:szCs w:val="24"/>
        </w:rPr>
        <w:t xml:space="preserve">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Основными условиями минимизации административных рисков являются: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формирование эффективной системы управления реализацией Программы;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проведение систематического мониторинга результативности реализации Программы;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повышение эффективности взаимодействия участников реализации Программы;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заключение и контроль реализации соглашений о взаимодействии с заинтересованными сторонами;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– </w:t>
      </w:r>
      <w:r>
        <w:rPr>
          <w:rFonts w:cs="Arial" w:ascii="Book Antiqua" w:hAnsi="Book Antiqua"/>
          <w:sz w:val="24"/>
          <w:szCs w:val="24"/>
        </w:rPr>
        <w:t>своевременная корректировка мероприятий Программы.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b/>
          <w:i/>
          <w:sz w:val="24"/>
          <w:szCs w:val="24"/>
        </w:rPr>
        <w:t>Кадровые риски</w:t>
      </w:r>
      <w:r>
        <w:rPr>
          <w:rFonts w:cs="Arial" w:ascii="Book Antiqua" w:hAnsi="Book Antiqua"/>
          <w:sz w:val="24"/>
          <w:szCs w:val="24"/>
        </w:rPr>
        <w:t xml:space="preserve">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Реализация основных направлений Программы предоставит            возможность: 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- поднять на современный уровень качество информационного, культурного и просветительского обслуживания населения и гостей округа;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-  полноценно использовать интеллектуальный и материальный потенциал культурной сферы муниципального округа; 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- применять инновационные методы и новые формы работы для улучшения качества организационных и культурно-массовых мероприятий Качинского муниципального округа;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- поддержать разнообразия национальных культур народов России, проживающих на территории муниципального округа и города Севастополя на основе единого культурного кода, взаимной терпимости и самоуважения, развития межнациональных и межрегиональных культурных связей; 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- обеспечить вовлеченность детей, молодежи, лиц пожилого возраста и людей с ограниченными возможностями в активную социокультурную деятельность муниципального округа; 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создать благоприятные условия для улучшения культурно-досугового обслуживания населения, а также для развития самодеятельного художественного творчества.</w:t>
      </w:r>
    </w:p>
    <w:p>
      <w:pPr>
        <w:pStyle w:val="Normal"/>
        <w:shd w:val="clear" w:color="auto" w:fill="FFFFFF"/>
        <w:jc w:val="center"/>
        <w:rPr/>
      </w:pPr>
      <w:r>
        <w:rPr>
          <w:rFonts w:ascii="Book Antiqua" w:hAnsi="Book Antiqua"/>
          <w:b/>
          <w:bCs/>
          <w:color w:val="000000"/>
          <w:sz w:val="24"/>
          <w:szCs w:val="24"/>
        </w:rPr>
        <w:t>5. Оценка планируемой эффективности Программы</w:t>
      </w:r>
    </w:p>
    <w:p>
      <w:pPr>
        <w:pStyle w:val="Normal"/>
        <w:shd w:val="clear" w:color="auto" w:fill="FFFFFF"/>
        <w:ind w:left="-78" w:firstLine="787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>
      <w:pPr>
        <w:pStyle w:val="Normal"/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«Развитие культуры  внутригородского муниципального образования  города Севастополя Качинский муниципальный округ». Эффективность реализации Программы определяется степенью достижения плановых значений целевых показателей (индикаторов).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6. Финансовое обеспечение</w:t>
      </w:r>
    </w:p>
    <w:p>
      <w:pPr>
        <w:pStyle w:val="NoSpacing"/>
        <w:ind w:firstLine="660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Финансовое обеспечение Программы осуществляется за счет средств бюджета внутригородского муниципального образования города Севастополя Качинский муниципальный округ.</w:t>
      </w:r>
    </w:p>
    <w:p>
      <w:pPr>
        <w:pStyle w:val="NoSpacing"/>
        <w:ind w:firstLine="6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Spacing"/>
        <w:jc w:val="center"/>
        <w:rPr>
          <w:rFonts w:ascii="Book Antiqua" w:hAnsi="Book Antiqua"/>
          <w:b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7. Система управления и контроль за ходом выполнения Программы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Текущее управление и контроль за выполнением Программы осуществляется местной администрацией и Советом Качинского муниципального округа.</w:t>
      </w:r>
    </w:p>
    <w:p>
      <w:pPr>
        <w:pStyle w:val="NoSpacing"/>
        <w:ind w:firstLine="660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Непосредственный контроль за выполнением осуществляет:</w:t>
      </w:r>
    </w:p>
    <w:p>
      <w:pPr>
        <w:pStyle w:val="NoSpacing"/>
        <w:ind w:firstLine="660"/>
        <w:jc w:val="both"/>
        <w:rPr/>
      </w:pPr>
      <w:r>
        <w:rPr>
          <w:rFonts w:cs="Arial" w:ascii="Book Antiqua" w:hAnsi="Book Antiqua"/>
          <w:sz w:val="24"/>
          <w:szCs w:val="24"/>
        </w:rPr>
        <w:t>- главный распорядитель бюджетных средств – за целевым и эффективным использованием выделенных на реализацию Программы ресурсов – местная администрация Качинского муниципального округа.</w:t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 Подпрограммы</w:t>
      </w:r>
    </w:p>
    <w:p>
      <w:pPr>
        <w:pStyle w:val="ListParagraph"/>
        <w:spacing w:lineRule="auto" w:line="240" w:before="0" w:after="0"/>
        <w:ind w:left="1074" w:hanging="0"/>
        <w:contextualSpacing/>
        <w:rPr>
          <w:rFonts w:ascii="Book Antiqua" w:hAnsi="Book Antiqua"/>
          <w:b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8.1. Подпрограмма «Праздники»</w:t>
      </w:r>
    </w:p>
    <w:p>
      <w:pPr>
        <w:pStyle w:val="Normal"/>
        <w:jc w:val="center"/>
        <w:rPr>
          <w:rFonts w:ascii="Book Antiqua" w:hAnsi="Book Antiqua"/>
          <w:bCs/>
          <w:color w:val="000000"/>
        </w:rPr>
      </w:pPr>
      <w:r>
        <w:rPr>
          <w:rFonts w:ascii="Book Antiqua" w:hAnsi="Book Antiqua"/>
          <w:bCs/>
          <w:color w:val="000000"/>
          <w:sz w:val="24"/>
          <w:szCs w:val="24"/>
        </w:rPr>
        <w:t xml:space="preserve">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ПАСПОРТ</w:t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Подпрограммы «Праздники» муниципальной программы</w:t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 xml:space="preserve">«Развитие культуры внутригородского муниципального образования </w:t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 xml:space="preserve">города Севастополя Качинский муниципальный округ» </w:t>
      </w:r>
    </w:p>
    <w:tbl>
      <w:tblPr>
        <w:tblW w:w="10206" w:type="dxa"/>
        <w:jc w:val="left"/>
        <w:tblInd w:w="-492" w:type="dxa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538"/>
        <w:gridCol w:w="6667"/>
      </w:tblGrid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Общий отдел местной администрации Качинского муниципального округа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Участники подпрограммы              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Цель подпрограммы            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создание благоприятных творческих условий для воспитания и развития жителей округа, особенно молодых граждан.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Задачи подпрограммы                 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>
            <w:pPr>
              <w:pStyle w:val="Normal"/>
              <w:numPr>
                <w:ilvl w:val="0"/>
                <w:numId w:val="3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>
            <w:pPr>
              <w:pStyle w:val="Normal"/>
              <w:numPr>
                <w:ilvl w:val="0"/>
                <w:numId w:val="3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развитие творческого потенциала коллективов художественной самодеятельности, что будет способствовать культурному и духовному росту граждан;</w:t>
            </w:r>
          </w:p>
          <w:p>
            <w:pPr>
              <w:pStyle w:val="Normal"/>
              <w:numPr>
                <w:ilvl w:val="0"/>
                <w:numId w:val="3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увеличение количества творческих коллективов и участников самодеятельности, принимающих участие конкурсах, смотрах, фестивалях различных уровней;</w:t>
            </w:r>
          </w:p>
          <w:p>
            <w:pPr>
              <w:pStyle w:val="Normal"/>
              <w:numPr>
                <w:ilvl w:val="0"/>
                <w:numId w:val="3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поддержка творческих коллективов в их стремлении к изучению и распространению культурного наследия;</w:t>
            </w:r>
          </w:p>
          <w:p>
            <w:pPr>
              <w:pStyle w:val="Normal"/>
              <w:numPr>
                <w:ilvl w:val="0"/>
                <w:numId w:val="3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повышение информированности населения о национальных, конфессиональных, государственных праздниках, исторических датах, истории региона;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00"/>
              <w:ind w:left="350" w:hanging="284"/>
              <w:jc w:val="both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Программа реализуется в один этап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Срок реализации 20</w:t>
            </w:r>
            <w:r>
              <w:rPr>
                <w:rFonts w:eastAsia="SimSun" w:cs="Calibri" w:ascii="Book Antiqua" w:hAnsi="Book Antiqua"/>
                <w:color w:val="000000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– 2022 годы</w:t>
            </w:r>
          </w:p>
        </w:tc>
      </w:tr>
      <w:tr>
        <w:trPr>
          <w:trHeight w:val="1055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2020 год – 869,0  тыс.руб.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2021 год – 0,0  тыс.руб.</w:t>
            </w:r>
          </w:p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2022 год – 0,0 тыс.руб.  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Конечные результаты реализации подпрограммы    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Рост числа участников творческих коллективов, жителей, вовлечённых в культурную жизнь округа.</w:t>
            </w:r>
          </w:p>
        </w:tc>
      </w:tr>
    </w:tbl>
    <w:p>
      <w:pPr>
        <w:pStyle w:val="ListParagraph"/>
        <w:spacing w:lineRule="auto" w:line="240" w:before="0" w:after="0"/>
        <w:ind w:left="1074" w:hanging="0"/>
        <w:contextualSpacing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8.1.1. Краткая характеристика подпрограммы «Праздники» муниципальной программы «Развитие культуры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Подпрограмма «Праздники» (далее – подпрограмма) разработана с целью создания условий для реализации муниципальной программы Качинского муниципального округа «Развитие культуры внутригородского муниципального образования  города Севастополя Качинский муниципальный округ». Подпрограмма направлена на формирование и развитие обеспечивающих механизмов реализации Программы.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Финансирование реализации подпрограммы осуществляется в рамках текущего финансирования деятельности Качинского муниципального округа.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 xml:space="preserve">На основании </w:t>
      </w:r>
      <w:r>
        <w:rPr>
          <w:rFonts w:ascii="Book Antiqua" w:hAnsi="Book Antiqua"/>
          <w:color w:val="000000"/>
          <w:sz w:val="24"/>
          <w:szCs w:val="24"/>
        </w:rPr>
        <w:t>Постановления Правительства Российской Федерации от 15.04.2014 № 317 «Об утверждении государственной программы Российской Федерации «Развитие культуры и туризма» на 2013-2020 годы»</w:t>
      </w:r>
      <w:r>
        <w:rPr>
          <w:rFonts w:cs="Arial" w:ascii="Book Antiqua" w:hAnsi="Book Antiqua"/>
          <w:sz w:val="24"/>
          <w:szCs w:val="24"/>
        </w:rPr>
        <w:t>, Устава внутригородского муниципального образования города Севастополя Качинский муниципальный округ на территории Качинского муниципального округа планируется проведение мероприятий, посвящённых празднованию знаменательных дат Российской Федерации, Крыма, города Севастополя, Качинского муниципального округа, а также профессиональных праздников. При проведении праздников и мероприятий планируется привлечение творческих коллективов, одарённых жителей. Мероприятия могут проводиться и в филиалах библиотек (4 филиала на территории Качинского муниципального округа).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Учитывая то, что в состав Качинского муниципального округа входит 5 населённых пунктов, планируется проведение праздничных мероприятий не только на территории п. Кача, но и в сёлах Вишнёвое, Осипенко, Полюшко, Орловка.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8.1.2. Приоритеты муниципальной политики, цели, задачи и описание конечных результатов в сфере реализации подпрограммы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Качинского муниципального округа.</w:t>
      </w:r>
    </w:p>
    <w:p>
      <w:pPr>
        <w:pStyle w:val="Normal"/>
        <w:ind w:firstLine="680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Целью подпрограммы является сохранение и развитие культурного потенциала округа.</w:t>
      </w:r>
    </w:p>
    <w:p>
      <w:pPr>
        <w:pStyle w:val="Normal"/>
        <w:ind w:firstLine="680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Для достижения указанной цели предусматривается решение следующих задач, сформированных по направлениям деятельности в сфере культуры:</w:t>
      </w:r>
    </w:p>
    <w:p>
      <w:pPr>
        <w:pStyle w:val="Normal"/>
        <w:ind w:firstLine="680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развитие культурно-досуговой деятельности;</w:t>
      </w:r>
    </w:p>
    <w:p>
      <w:pPr>
        <w:pStyle w:val="Normal"/>
        <w:ind w:firstLine="680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- обеспечение условий реализации подпрограммы.</w:t>
      </w:r>
    </w:p>
    <w:p>
      <w:pPr>
        <w:pStyle w:val="Normal"/>
        <w:ind w:firstLine="680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Предусмотренные мероприятия в комплексе, наиболее полным образом охватывают весь диапазон приоритетных направлений развития культуры округа и в максимальной степени будут способствовать достижению целей и конечных результатов подпрограммы.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 xml:space="preserve">8.1.3. Обоснование выделения и </w:t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характеристика мероприятий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В рамках подпрограммы будут реализованы следующие основные мероприятия (Приложение 2):</w:t>
      </w:r>
    </w:p>
    <w:p>
      <w:pPr>
        <w:pStyle w:val="Normal"/>
        <w:tabs>
          <w:tab w:val="clear" w:pos="709"/>
          <w:tab w:val="left" w:pos="851" w:leader="none"/>
        </w:tabs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1. Проведение мероприятий, посвящённых празднованию знаменательных дат Российской Федерации, Крыма, города Севастополя, Качинского муниципального округа, профессиональных праздников, приобретение оборудования и реквизитов для проведения праздничных мероприятий. Реализация данного мероприятия обеспечивает выполнение задачи подпрограммы по обеспечению доступа населения к услугам по организации досуга населения. Финансирование данного мероприятия осуществляется за счёт средств местного бюджета.</w:t>
      </w:r>
    </w:p>
    <w:p>
      <w:pPr>
        <w:pStyle w:val="Normal"/>
        <w:tabs>
          <w:tab w:val="clear" w:pos="709"/>
          <w:tab w:val="left" w:pos="851" w:leader="none"/>
        </w:tabs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2. Организация конкурсов, выставок, семинаров, просветительная работа с молодёжью. Данное мероприятие направлено на организацию повседневного содержательного досуга детей, подростков и молодежи, развитие семейных форм досуга, улучшение окружающей жизни и на оказание социальной помощи нуждающимся. Финансирование данного мероприятия осуществляется за счёт средств местного бюджета.</w:t>
      </w:r>
    </w:p>
    <w:p>
      <w:pPr>
        <w:pStyle w:val="Normal"/>
        <w:tabs>
          <w:tab w:val="clear" w:pos="709"/>
          <w:tab w:val="left" w:pos="851" w:leader="none"/>
        </w:tabs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/>
          <w:sz w:val="24"/>
          <w:szCs w:val="24"/>
          <w:lang w:eastAsia="ar-SA"/>
        </w:rPr>
        <w:t>Финансирование данных мероприятий осуществляется за счёт средств местного бюджета.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8.1.4. Анализ рисков реализации подпрограммы, меры управления рисками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Реализация сопряжена с рисками, которые могут препятствовать достижению запланированных результатов.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Имеющие место риски финансовой необеспеченности связаны с недостаточностью бюджетных средств на реализацию Программы. Эти риски могут привести к недостижению запланированных результатов, нарушению сроков выполнения мероприятий, отрицательной динамике показателей.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Способами ограничения финансовых рисков выступают: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2) определение приоритетов для первоочередного финансирования;</w:t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3) планирование бюджетных расходов с применением методик оценки эффективности бюджетных расходов.</w:t>
      </w:r>
    </w:p>
    <w:p>
      <w:pPr>
        <w:pStyle w:val="ListParagraph"/>
        <w:spacing w:lineRule="auto" w:line="240" w:before="0" w:after="0"/>
        <w:ind w:left="-567" w:firstLine="992"/>
        <w:contextualSpacing/>
        <w:jc w:val="center"/>
        <w:rPr>
          <w:rFonts w:ascii="Book Antiqua" w:hAnsi="Book Antiqua"/>
          <w:i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</w:r>
    </w:p>
    <w:p>
      <w:pPr>
        <w:pStyle w:val="ListParagraph"/>
        <w:spacing w:lineRule="auto" w:line="240" w:before="0" w:after="0"/>
        <w:ind w:left="-567" w:firstLine="992"/>
        <w:contextualSpacing/>
        <w:jc w:val="center"/>
        <w:rPr>
          <w:rFonts w:ascii="Book Antiqua" w:hAnsi="Book Antiqua"/>
          <w:b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8.1.5. Оценка планируемой эффективности подпрограммы</w:t>
      </w:r>
    </w:p>
    <w:p>
      <w:pPr>
        <w:pStyle w:val="ListParagraph"/>
        <w:spacing w:lineRule="auto" w:line="240" w:before="0" w:after="0"/>
        <w:ind w:left="-567" w:firstLine="992"/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В ходе реализации подпрограммы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В качестве критериев оценки эффективности подпрограммы используются целевые показатели (индикаторы), приведенные в Приложении 1 «Плановые значения целевых показателей муниципальной программы «Развитие культуры внутригородского муниципального образования города Севастополя Качинский муниципальный округ».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8.2. Подпрограмма «Военно-патриотическое воспитание»</w:t>
      </w:r>
    </w:p>
    <w:p>
      <w:pPr>
        <w:pStyle w:val="Normal"/>
        <w:jc w:val="center"/>
        <w:rPr>
          <w:rFonts w:ascii="Book Antiqua" w:hAnsi="Book Antiqua"/>
          <w:bCs/>
          <w:color w:val="000000"/>
        </w:rPr>
      </w:pPr>
      <w:r>
        <w:rPr>
          <w:rFonts w:ascii="Book Antiqua" w:hAnsi="Book Antiqua"/>
          <w:bCs/>
          <w:color w:val="000000"/>
          <w:sz w:val="24"/>
          <w:szCs w:val="24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 »</w:t>
      </w:r>
    </w:p>
    <w:p>
      <w:pPr>
        <w:pStyle w:val="Normal"/>
        <w:jc w:val="center"/>
        <w:rPr/>
      </w:pPr>
      <w:r>
        <w:rPr>
          <w:rFonts w:ascii="Book Antiqua" w:hAnsi="Book Antiqua"/>
          <w:b/>
          <w:bCs/>
          <w:color w:val="000000"/>
        </w:rPr>
        <w:t>ПАСПОРТ</w:t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 xml:space="preserve"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>
      <w:pPr>
        <w:pStyle w:val="Normal"/>
        <w:spacing w:before="0" w:after="200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tbl>
      <w:tblPr>
        <w:tblW w:w="10206" w:type="dxa"/>
        <w:jc w:val="left"/>
        <w:tblInd w:w="-492" w:type="dxa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108"/>
        <w:gridCol w:w="7097"/>
      </w:tblGrid>
      <w:tr>
        <w:trPr>
          <w:cantSplit w:val="true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Общий отдел местной администрации Качинского муниципального округа</w:t>
            </w:r>
          </w:p>
        </w:tc>
      </w:tr>
      <w:tr>
        <w:trPr>
          <w:cantSplit w:val="true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Участники подпрограммы              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союзы, а также прочие организации</w:t>
            </w:r>
          </w:p>
        </w:tc>
      </w:tr>
      <w:tr>
        <w:trPr>
          <w:cantSplit w:val="true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Цель подпрограммы             </w:t>
            </w:r>
          </w:p>
          <w:p>
            <w:pPr>
              <w:pStyle w:val="Normal"/>
              <w:widowControl w:val="false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развитие у молодежи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   </w:t>
            </w:r>
          </w:p>
        </w:tc>
      </w:tr>
      <w:tr>
        <w:trPr>
          <w:trHeight w:val="615" w:hRule="atLeast"/>
          <w:cantSplit w:val="true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Задачи подпрограммы     </w:t>
            </w:r>
          </w:p>
          <w:p>
            <w:pPr>
              <w:pStyle w:val="Normal"/>
              <w:widowControl w:val="false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Arial" w:ascii="Book Antiqua" w:hAnsi="Book Antiqua"/>
                <w:sz w:val="24"/>
                <w:szCs w:val="24"/>
              </w:rPr>
              <w:t xml:space="preserve">проведение научно-обоснованной управленческой и организаторской деятельности по созданию условий для эффективного военно-патриотического воспитания молодежи; 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Arial" w:ascii="Book Antiqua" w:hAnsi="Book Antiqua"/>
                <w:sz w:val="24"/>
                <w:szCs w:val="24"/>
              </w:rPr>
              <w:t xml:space="preserve">утверждение в сознании и чувствах молодежи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 службы; 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Arial" w:ascii="Book Antiqua" w:hAnsi="Book Antiqua"/>
                <w:sz w:val="24"/>
                <w:szCs w:val="24"/>
              </w:rPr>
              <w:t xml:space="preserve">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 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Arial" w:ascii="Book Antiqua" w:hAnsi="Book Antiqua"/>
                <w:sz w:val="24"/>
                <w:szCs w:val="24"/>
              </w:rPr>
              <w:t>создание механизма, обеспечивающего эффективное функционирование целостной системы военно-патриотического воспитания молодежи.</w:t>
            </w:r>
          </w:p>
        </w:tc>
      </w:tr>
      <w:tr>
        <w:trPr>
          <w:cantSplit w:val="true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Программа реализуется в один этап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Book Antiqua" w:hAnsi="Book Antiqua"/>
                <w:sz w:val="24"/>
                <w:szCs w:val="24"/>
              </w:rPr>
              <w:t>Срок реализации 20</w:t>
            </w:r>
            <w:r>
              <w:rPr>
                <w:rFonts w:eastAsia="SimSun" w:cs="Arial" w:ascii="Book Antiqua" w:hAnsi="Book Antiqua"/>
                <w:color w:val="00000A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cs="Arial" w:ascii="Book Antiqua" w:hAnsi="Book Antiqua"/>
                <w:sz w:val="24"/>
                <w:szCs w:val="24"/>
              </w:rPr>
              <w:t xml:space="preserve"> – 2022 годы</w:t>
            </w:r>
          </w:p>
        </w:tc>
      </w:tr>
      <w:tr>
        <w:trPr>
          <w:trHeight w:val="1055" w:hRule="atLeast"/>
          <w:cantSplit w:val="true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2020 год –256,0 тыс.руб.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2021 год –  0,0 тыс.руб.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>2022 год – 0,0  тыс.руб.</w:t>
            </w:r>
          </w:p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Конечные результаты реализации подпрограммы     </w:t>
            </w:r>
          </w:p>
          <w:p>
            <w:pPr>
              <w:pStyle w:val="Normal"/>
              <w:widowControl w:val="false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Arial" w:ascii="Book Antiqua" w:hAnsi="Book Antiqua"/>
                <w:sz w:val="24"/>
                <w:szCs w:val="24"/>
              </w:rPr>
              <w:t>повышения уровня духовно-нравственной культуры молодежи;</w:t>
            </w:r>
          </w:p>
          <w:p>
            <w:pPr>
              <w:pStyle w:val="Normal"/>
              <w:tabs>
                <w:tab w:val="clear" w:pos="709"/>
                <w:tab w:val="left" w:pos="187" w:leader="none"/>
              </w:tabs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Arial" w:ascii="Book Antiqua" w:hAnsi="Book Antiqua"/>
                <w:sz w:val="24"/>
                <w:szCs w:val="24"/>
              </w:rPr>
              <w:t>повышения уровня гражданской идентичности;</w:t>
            </w:r>
          </w:p>
          <w:p>
            <w:pPr>
              <w:pStyle w:val="Normal"/>
              <w:tabs>
                <w:tab w:val="clear" w:pos="709"/>
                <w:tab w:val="left" w:pos="187" w:leader="none"/>
              </w:tabs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Arial" w:ascii="Book Antiqua" w:hAnsi="Book Antiqua"/>
                <w:sz w:val="24"/>
                <w:szCs w:val="24"/>
              </w:rPr>
              <w:t>повышения степени готовности к выполнению обязанностей по защите Отечества;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cs="Arial" w:ascii="Book Antiqua" w:hAnsi="Book Antiqua"/>
                <w:sz w:val="24"/>
                <w:szCs w:val="24"/>
              </w:rPr>
              <w:t xml:space="preserve">– </w:t>
            </w:r>
            <w:r>
              <w:rPr>
                <w:rFonts w:cs="Arial" w:ascii="Book Antiqua" w:hAnsi="Book Antiqua"/>
                <w:sz w:val="24"/>
                <w:szCs w:val="24"/>
              </w:rPr>
              <w:t>совершенствования работы по подготовке молодежи к службе в армии.</w:t>
            </w:r>
          </w:p>
        </w:tc>
      </w:tr>
    </w:tbl>
    <w:p>
      <w:pPr>
        <w:pStyle w:val="Normal"/>
        <w:spacing w:before="0" w:after="200"/>
        <w:ind w:left="720" w:hanging="0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8.2.1. Краткая характеристика подпрограмм Программы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Подпрограмма «Военно-патриотическое воспитание» (далее – подпрограмма) сохраняет непрерывность процесса по дальнейшему формированию патриотического сознания российских граждан как одного из факторов единения нации. Подпрограмма «Военно-патриотическое воспитание» нацелена на совершенствование сложившейся системы, предполагает расширение совместной деятельности органов муниципальной власти, образовательных организаций, общественных организаций (объединений) в решении спектра проблем патриотического воспитания и призвана придать этому процессу дальнейшую динамику. </w:t>
      </w:r>
    </w:p>
    <w:p>
      <w:pPr>
        <w:pStyle w:val="Normal"/>
        <w:tabs>
          <w:tab w:val="clear" w:pos="709"/>
          <w:tab w:val="left" w:pos="567" w:leader="none"/>
        </w:tabs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В рамках реализации подпрограммы в муниципальном округе проводятся мероприятия, которые  помогают познать учащимся ценности Отечества, повысить интерес к воинскому делу, привить уважение к воинскому долгу, развить соревновательный интерес, повысить уровень военно-патриотического воспитания. В рамках реализации подпрограммы предусмотрена возможность оказания содействия прочим учреждениям и организациям независимо от форм собственности в организации и проведении на территории Качинского муниципального округа мероприятий военно-патриотической направленности, в том числе соревнования, эстафеты, игры, массовые и прочие мероприятия. В рамках оказания указанного содействия предусмотрено: приобретение наградной атрибутики, формы для участников, инвентаря для проведения мероприятий, привлечение услуг по организации и проведению мероприятий, а также прочие сопутствующие расходы.</w:t>
      </w:r>
    </w:p>
    <w:p>
      <w:pPr>
        <w:pStyle w:val="Normal"/>
        <w:tabs>
          <w:tab w:val="clear" w:pos="709"/>
          <w:tab w:val="left" w:pos="567" w:leader="none"/>
        </w:tabs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Финансирование реализации подпрограммы осуществляется в рамках текущего финансирования деятельности </w:t>
      </w:r>
      <w:r>
        <w:rPr>
          <w:rFonts w:ascii="Book Antiqua" w:hAnsi="Book Antiqua"/>
          <w:sz w:val="24"/>
          <w:szCs w:val="24"/>
        </w:rPr>
        <w:t>Качинского муниципального округа.</w:t>
      </w:r>
    </w:p>
    <w:p>
      <w:pPr>
        <w:pStyle w:val="Normal"/>
        <w:jc w:val="center"/>
        <w:rPr/>
      </w:pPr>
      <w:r>
        <w:rPr>
          <w:rFonts w:ascii="Book Antiqua" w:hAnsi="Book Antiqua"/>
          <w:b/>
          <w:bCs/>
          <w:color w:val="000000"/>
          <w:sz w:val="24"/>
          <w:szCs w:val="24"/>
        </w:rPr>
        <w:t>8.2.2. Приоритеты муниципальной политики, цели, задачи и описание конечных результатов в сфере реализации подпрограммы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ar-SA"/>
        </w:rPr>
        <w:t>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Качинского муниципального округа.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Целью подпрограммы является развитие и модернизация системы патриотического воспитания молодежи.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В рамках реализации этой подпрограммы решаются следующие задачи: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1. Совершенствование инфраструктуры патриотического воспитания в округе.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2.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Отечества.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4. Военно-профессиональное ориентирование молодежи, ее подготовка к военной службе.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5. Совершенствование направлений и форм работы по патриотическому воспитанию молодежи.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6. Формирование патриотических чувств и сознания подрастающего поколения на основе исторических ценностей, значения малой Родины, уважение к своей стране, интерес к прошлому через изучение культуры.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7. Привитие учащимся чувства гордости, глубокого уважения символов государства.</w:t>
      </w:r>
    </w:p>
    <w:p>
      <w:pPr>
        <w:pStyle w:val="Normal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Предусмотренные мероприятия в комплексе, наиболее полным образом охватывают весь диапазон приоритетных направлений развития культуры района и в максимальной степени будут способствовать достижению целей и конечных результатов подпрограммы.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8.2.3. Обоснование выделения и характеристика мероприятий подпрограммы «Военно-патриотическое воспитание»</w:t>
      </w:r>
    </w:p>
    <w:p>
      <w:pPr>
        <w:pStyle w:val="Normal"/>
        <w:widowControl w:val="false"/>
        <w:ind w:firstLine="680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ar-SA"/>
        </w:rPr>
        <w:t>В рамках подпрограммы будут реализованы следующие основные мероприятия (Приложение 2):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1. Проведение мероприятий, направленных на военно-патриотическое воспитание, повышение престижа государственной и военной службы. Финансирование данного мероприятия осуществляется за счёт средств местного бюджета.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2. Участие в различных  выставках, семинарах,  просветительная работа с молодёжью.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3. Содействие прочим организациям независимо от форм собственности в организации и проведении мероприятий тематической направленности.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Финансирование данных мероприятий осуществляется за счёт средств местного бюджета.</w:t>
      </w:r>
    </w:p>
    <w:p>
      <w:pPr>
        <w:pStyle w:val="Normal"/>
        <w:spacing w:before="0" w:after="200"/>
        <w:contextualSpacing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8.2.4. Анализ рисков реализации подпрограммы, меры управления рисками</w:t>
      </w:r>
    </w:p>
    <w:p>
      <w:pPr>
        <w:pStyle w:val="Normal"/>
        <w:widowControl w:val="false"/>
        <w:ind w:firstLine="680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ar-SA"/>
        </w:rPr>
        <w:t>Реализация сопряжена с рисками, которые могут препятствовать достижению запланированных результатов.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Имеющие место риски финансовой необеспеченности связаны с недостаточностью бюджетных средств на реализацию подпрограммы. Эти риски могут привести к недостижению запланированных результатов, нарушению сроков выполнения мероприятий, отрицательной динамике показателей.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Способами ограничения финансовых рисков выступают: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2) определение приоритетов для первоочередного финансирования;</w:t>
      </w:r>
    </w:p>
    <w:p>
      <w:pPr>
        <w:pStyle w:val="Normal"/>
        <w:widowControl w:val="false"/>
        <w:ind w:firstLine="680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3) планирование бюджетных расходов с применением методик оценки эффективности бюджетных расходов.</w:t>
      </w:r>
    </w:p>
    <w:p>
      <w:pPr>
        <w:pStyle w:val="Normal"/>
        <w:spacing w:before="0" w:after="200"/>
        <w:contextualSpacing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8.2.5. Оценка планируемой эффективности подпрограммы</w:t>
      </w:r>
    </w:p>
    <w:p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В ходе реализации подпрограммы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>
        <w:rPr>
          <w:rFonts w:cs="Arial" w:ascii="Book Antiqua" w:hAnsi="Book Antiqua"/>
          <w:sz w:val="24"/>
          <w:szCs w:val="24"/>
        </w:rPr>
        <w:t>В качестве критериев оценки эффективности подпрограммы используются целевые показатели (индикаторы), приведенные в Приложении 1 «Плановые значения целевых показателей муниципальной программы «Развитие культуры внутригородского муниципального образования города Севастополя Качинский муниципальный округ».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>
      <w:pPr>
        <w:pStyle w:val="ListParagraph"/>
        <w:spacing w:lineRule="auto" w:line="240" w:before="0" w:after="0"/>
        <w:ind w:left="-567" w:firstLine="1134"/>
        <w:contextualSpacing/>
        <w:jc w:val="both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29"/>
        <w:gridCol w:w="1789"/>
        <w:gridCol w:w="2117"/>
      </w:tblGrid>
      <w:tr>
        <w:trPr/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ind w:left="558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ListParagraph"/>
        <w:spacing w:lineRule="auto" w:line="240" w:before="0" w:after="0"/>
        <w:ind w:left="-567" w:firstLine="1276"/>
        <w:contextualSpacing/>
        <w:jc w:val="both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-567" w:firstLine="1276"/>
        <w:contextualSpacing/>
        <w:jc w:val="both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-567" w:firstLine="1276"/>
        <w:contextualSpacing/>
        <w:jc w:val="both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-567" w:firstLine="1276"/>
        <w:contextualSpacing/>
        <w:jc w:val="both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  <w:r>
        <w:br w:type="page"/>
      </w:r>
    </w:p>
    <w:p>
      <w:pPr>
        <w:pStyle w:val="ListParagraph"/>
        <w:spacing w:lineRule="auto" w:line="240" w:before="0" w:after="0"/>
        <w:ind w:left="-567" w:firstLine="1276"/>
        <w:contextualSpacing/>
        <w:jc w:val="both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Приложение 1</w:t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color w:val="000000"/>
        </w:rPr>
        <w:t>к муниципальной программе «</w:t>
      </w:r>
      <w:r>
        <w:rPr>
          <w:rFonts w:cs="Arial" w:ascii="Book Antiqua" w:hAnsi="Book Antiqua"/>
        </w:rPr>
        <w:t>Развитие культуры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</w:rPr>
        <w:t>»</w:t>
      </w:r>
    </w:p>
    <w:p>
      <w:pPr>
        <w:pStyle w:val="ListParagraph"/>
        <w:spacing w:lineRule="auto" w:line="240" w:before="0" w:after="0"/>
        <w:ind w:left="-567" w:firstLine="1276"/>
        <w:contextualSpacing/>
        <w:jc w:val="both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Плановые значения целевых показателей муниципальной программы «Развитие культуры внутригородского муниципального образования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города Севастополя Качинский муниципальный округ»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tbl>
      <w:tblPr>
        <w:tblStyle w:val="a4"/>
        <w:tblW w:w="88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"/>
        <w:gridCol w:w="3117"/>
        <w:gridCol w:w="1554"/>
        <w:gridCol w:w="1132"/>
        <w:gridCol w:w="993"/>
        <w:gridCol w:w="1107"/>
      </w:tblGrid>
      <w:tr>
        <w:trPr/>
        <w:tc>
          <w:tcPr>
            <w:tcW w:w="946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7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4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32" w:type="dxa"/>
            <w:gridSpan w:val="3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>
        <w:trPr/>
        <w:tc>
          <w:tcPr>
            <w:tcW w:w="946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7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2022</w:t>
            </w:r>
          </w:p>
        </w:tc>
      </w:tr>
      <w:tr>
        <w:trPr/>
        <w:tc>
          <w:tcPr>
            <w:tcW w:w="94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55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9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Количество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граждан, посетивших  культурно-массовые мероприятия за год</w:t>
            </w:r>
          </w:p>
        </w:tc>
        <w:tc>
          <w:tcPr>
            <w:tcW w:w="15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3902</w:t>
            </w:r>
          </w:p>
        </w:tc>
        <w:tc>
          <w:tcPr>
            <w:tcW w:w="9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3951</w:t>
            </w:r>
          </w:p>
        </w:tc>
        <w:tc>
          <w:tcPr>
            <w:tcW w:w="11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4106</w:t>
            </w:r>
          </w:p>
        </w:tc>
      </w:tr>
      <w:tr>
        <w:trPr/>
        <w:tc>
          <w:tcPr>
            <w:tcW w:w="9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1.1</w:t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из них детей</w:t>
            </w:r>
          </w:p>
        </w:tc>
        <w:tc>
          <w:tcPr>
            <w:tcW w:w="15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1221</w:t>
            </w:r>
          </w:p>
        </w:tc>
        <w:tc>
          <w:tcPr>
            <w:tcW w:w="9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1368</w:t>
            </w:r>
          </w:p>
        </w:tc>
        <w:tc>
          <w:tcPr>
            <w:tcW w:w="11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1498</w:t>
            </w:r>
          </w:p>
        </w:tc>
      </w:tr>
      <w:tr>
        <w:trPr/>
        <w:tc>
          <w:tcPr>
            <w:tcW w:w="9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Удельный вес граждан, посетивших одно и более культурно-массовое мероприятие от общей численности населения(</w:t>
            </w: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8967 </w:t>
            </w:r>
            <w:r>
              <w:rPr>
                <w:rFonts w:ascii="Book Antiqua" w:hAnsi="Book Antiqua"/>
                <w:color w:val="000000"/>
              </w:rPr>
              <w:t>чел. По данным Росстата на 01.01.201</w:t>
            </w:r>
            <w:r>
              <w:rPr>
                <w:rFonts w:eastAsia="SimSun" w:cs="Calibri" w:ascii="Book Antiqua" w:hAnsi="Book Antiqua"/>
                <w:color w:val="000000"/>
                <w:kern w:val="0"/>
                <w:sz w:val="22"/>
                <w:szCs w:val="22"/>
                <w:lang w:val="ru-RU" w:eastAsia="en-US" w:bidi="ar-SA"/>
              </w:rPr>
              <w:t>9</w:t>
            </w:r>
            <w:r>
              <w:rPr>
                <w:rFonts w:ascii="Book Antiqua" w:hAnsi="Book Antiqua"/>
                <w:color w:val="000000"/>
              </w:rPr>
              <w:t xml:space="preserve"> г.)</w:t>
            </w:r>
          </w:p>
        </w:tc>
        <w:tc>
          <w:tcPr>
            <w:tcW w:w="15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50</w:t>
            </w:r>
          </w:p>
        </w:tc>
        <w:tc>
          <w:tcPr>
            <w:tcW w:w="9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55</w:t>
            </w:r>
          </w:p>
        </w:tc>
        <w:tc>
          <w:tcPr>
            <w:tcW w:w="11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55</w:t>
            </w:r>
          </w:p>
        </w:tc>
      </w:tr>
      <w:tr>
        <w:trPr/>
        <w:tc>
          <w:tcPr>
            <w:tcW w:w="9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</w:t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Среднее количество проводимых мероприятий в год</w:t>
            </w:r>
          </w:p>
        </w:tc>
        <w:tc>
          <w:tcPr>
            <w:tcW w:w="15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единиц</w:t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7</w:t>
            </w:r>
          </w:p>
        </w:tc>
        <w:tc>
          <w:tcPr>
            <w:tcW w:w="9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</w:t>
            </w:r>
          </w:p>
        </w:tc>
        <w:tc>
          <w:tcPr>
            <w:tcW w:w="11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</w:t>
            </w:r>
          </w:p>
        </w:tc>
      </w:tr>
      <w:tr>
        <w:trPr/>
        <w:tc>
          <w:tcPr>
            <w:tcW w:w="9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</w:t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9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11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</w:t>
            </w:r>
          </w:p>
        </w:tc>
      </w:tr>
    </w:tbl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Приложение 2 </w:t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к муниципальной программе «</w:t>
      </w:r>
      <w:r>
        <w:rPr>
          <w:rFonts w:cs="Arial" w:ascii="Book Antiqua" w:hAnsi="Book Antiqua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</w:r>
    </w:p>
    <w:tbl>
      <w:tblPr>
        <w:tblStyle w:val="a4"/>
        <w:tblW w:w="147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"/>
        <w:gridCol w:w="84"/>
        <w:gridCol w:w="2694"/>
        <w:gridCol w:w="1832"/>
        <w:gridCol w:w="2"/>
        <w:gridCol w:w="14"/>
        <w:gridCol w:w="973"/>
        <w:gridCol w:w="3"/>
        <w:gridCol w:w="11"/>
        <w:gridCol w:w="1396"/>
        <w:gridCol w:w="5"/>
        <w:gridCol w:w="13"/>
        <w:gridCol w:w="9"/>
        <w:gridCol w:w="962"/>
        <w:gridCol w:w="3"/>
        <w:gridCol w:w="13"/>
        <w:gridCol w:w="11"/>
        <w:gridCol w:w="819"/>
        <w:gridCol w:w="3"/>
        <w:gridCol w:w="16"/>
        <w:gridCol w:w="6"/>
        <w:gridCol w:w="819"/>
        <w:gridCol w:w="5"/>
        <w:gridCol w:w="16"/>
        <w:gridCol w:w="7"/>
        <w:gridCol w:w="819"/>
        <w:gridCol w:w="6"/>
        <w:gridCol w:w="11"/>
        <w:gridCol w:w="3"/>
        <w:gridCol w:w="5"/>
        <w:gridCol w:w="1174"/>
        <w:gridCol w:w="5"/>
        <w:gridCol w:w="13"/>
        <w:gridCol w:w="9"/>
        <w:gridCol w:w="1172"/>
        <w:gridCol w:w="8"/>
        <w:gridCol w:w="10"/>
        <w:gridCol w:w="6"/>
        <w:gridCol w:w="1246"/>
      </w:tblGrid>
      <w:tr>
        <w:trPr>
          <w:tblHeader w:val="true"/>
          <w:cantSplit w:val="true"/>
        </w:trPr>
        <w:tc>
          <w:tcPr>
            <w:tcW w:w="665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3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ind w:left="720" w:hanging="70"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Исполнители</w:t>
            </w:r>
          </w:p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989" w:type="dxa"/>
            <w:gridSpan w:val="3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410" w:type="dxa"/>
            <w:gridSpan w:val="3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Источник финанси-рования</w:t>
            </w:r>
          </w:p>
        </w:tc>
        <w:tc>
          <w:tcPr>
            <w:tcW w:w="3543" w:type="dxa"/>
            <w:gridSpan w:val="18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Объем финансирования, тыс.руб.</w:t>
            </w:r>
          </w:p>
        </w:tc>
        <w:tc>
          <w:tcPr>
            <w:tcW w:w="3651" w:type="dxa"/>
            <w:gridSpan w:val="11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>
        <w:trPr>
          <w:tblHeader w:val="true"/>
          <w:cantSplit w:val="true"/>
        </w:trPr>
        <w:tc>
          <w:tcPr>
            <w:tcW w:w="665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18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ind w:left="720" w:hanging="7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989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1410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98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4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4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4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99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9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0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2022</w:t>
            </w:r>
          </w:p>
        </w:tc>
      </w:tr>
      <w:tr>
        <w:trPr>
          <w:tblHeader w:val="true"/>
          <w:cantSplit w:val="true"/>
        </w:trPr>
        <w:tc>
          <w:tcPr>
            <w:tcW w:w="66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ind w:left="720" w:hanging="7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8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8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4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4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4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199" w:type="dxa"/>
            <w:gridSpan w:val="5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9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0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</w:tr>
      <w:tr>
        <w:trPr>
          <w:trHeight w:val="124" w:hRule="atLeast"/>
          <w:cantSplit w:val="true"/>
        </w:trPr>
        <w:tc>
          <w:tcPr>
            <w:tcW w:w="5207" w:type="dxa"/>
            <w:gridSpan w:val="6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«Праздники»</w:t>
            </w:r>
          </w:p>
        </w:tc>
        <w:tc>
          <w:tcPr>
            <w:tcW w:w="987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1414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987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869,0</w:t>
            </w:r>
          </w:p>
        </w:tc>
        <w:tc>
          <w:tcPr>
            <w:tcW w:w="849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869,0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6" w:type="dxa"/>
            <w:gridSpan w:val="5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7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199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252" w:type="dxa"/>
            <w:gridSpan w:val="2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  <w:tr>
        <w:trPr>
          <w:trHeight w:val="3328" w:hRule="atLeast"/>
          <w:cantSplit w:val="true"/>
        </w:trPr>
        <w:tc>
          <w:tcPr>
            <w:tcW w:w="581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7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Проведение мероприятий, посвященных празднованию знаменательных дат Российской Федерации, Крыма, города Севастополя, Качинского МО, профессиональных праздников, в том числе приобретение реквизита и оборудования для проведения мероприятий </w:t>
            </w:r>
          </w:p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834" w:type="dxa"/>
            <w:gridSpan w:val="2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0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bookmarkStart w:id="4" w:name="__DdeLink__1503_2559716929"/>
            <w:r>
              <w:rPr>
                <w:rFonts w:ascii="Book Antiqua" w:hAnsi="Book Antiqua"/>
                <w:color w:val="000000"/>
                <w:sz w:val="22"/>
                <w:szCs w:val="22"/>
              </w:rPr>
              <w:t>2020-2022 годы</w:t>
            </w:r>
            <w:bookmarkEnd w:id="4"/>
          </w:p>
        </w:tc>
        <w:tc>
          <w:tcPr>
            <w:tcW w:w="1412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987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869,0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869,0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8" w:type="dxa"/>
            <w:gridSpan w:val="5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8 меро-при-ятий в год</w:t>
            </w:r>
          </w:p>
        </w:tc>
        <w:tc>
          <w:tcPr>
            <w:tcW w:w="1202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9 меро-при-ятий в год</w:t>
            </w:r>
          </w:p>
        </w:tc>
        <w:tc>
          <w:tcPr>
            <w:tcW w:w="1262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8 меро-при-ятий в год</w:t>
            </w:r>
          </w:p>
        </w:tc>
      </w:tr>
      <w:tr>
        <w:trPr>
          <w:cantSplit w:val="true"/>
        </w:trPr>
        <w:tc>
          <w:tcPr>
            <w:tcW w:w="581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78" w:type="dxa"/>
            <w:gridSpan w:val="2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contextualSpacing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834" w:type="dxa"/>
            <w:gridSpan w:val="2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0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2020-2022 годы</w:t>
            </w:r>
          </w:p>
        </w:tc>
        <w:tc>
          <w:tcPr>
            <w:tcW w:w="1412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987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8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5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3 меро-приятий в год</w:t>
            </w:r>
          </w:p>
        </w:tc>
        <w:tc>
          <w:tcPr>
            <w:tcW w:w="1202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2 меро-приятий в год</w:t>
            </w:r>
          </w:p>
        </w:tc>
        <w:tc>
          <w:tcPr>
            <w:tcW w:w="1262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1 меро-приятий в год</w:t>
            </w:r>
          </w:p>
        </w:tc>
      </w:tr>
      <w:tr>
        <w:trPr>
          <w:cantSplit w:val="true"/>
        </w:trPr>
        <w:tc>
          <w:tcPr>
            <w:tcW w:w="5207" w:type="dxa"/>
            <w:gridSpan w:val="6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«Военно-патриотическое воспитание»</w:t>
            </w:r>
          </w:p>
        </w:tc>
        <w:tc>
          <w:tcPr>
            <w:tcW w:w="987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1414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987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256,0</w:t>
            </w:r>
          </w:p>
        </w:tc>
        <w:tc>
          <w:tcPr>
            <w:tcW w:w="849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256,0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6" w:type="dxa"/>
            <w:gridSpan w:val="5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7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199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252" w:type="dxa"/>
            <w:gridSpan w:val="2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81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78" w:type="dxa"/>
            <w:gridSpan w:val="2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contextualSpacing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Мероприятия, направленные на военно-патриотическое воспитание, повышение престижа государственной и военной службы, в том числе празднование Дня Победы, содействие прочим организациям независимо от форм собственности в организации и проведении мероприятий тематической направленности, в том числе приобретение сопутствующих товаров, работ и услуг</w:t>
            </w:r>
          </w:p>
        </w:tc>
        <w:tc>
          <w:tcPr>
            <w:tcW w:w="1834" w:type="dxa"/>
            <w:gridSpan w:val="2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0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2020-2022 годы</w:t>
            </w:r>
          </w:p>
        </w:tc>
        <w:tc>
          <w:tcPr>
            <w:tcW w:w="1412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987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256,0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256,0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8" w:type="dxa"/>
            <w:gridSpan w:val="5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2 меро-при-ятий в год</w:t>
            </w:r>
          </w:p>
        </w:tc>
        <w:tc>
          <w:tcPr>
            <w:tcW w:w="1202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1 меро-при-ятий в год</w:t>
            </w:r>
          </w:p>
        </w:tc>
        <w:tc>
          <w:tcPr>
            <w:tcW w:w="1262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1 меро-при-ятий в год</w:t>
            </w:r>
          </w:p>
        </w:tc>
      </w:tr>
      <w:tr>
        <w:trPr>
          <w:cantSplit w:val="true"/>
        </w:trPr>
        <w:tc>
          <w:tcPr>
            <w:tcW w:w="581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78" w:type="dxa"/>
            <w:gridSpan w:val="2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contextualSpacing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834" w:type="dxa"/>
            <w:gridSpan w:val="2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0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2020-2022 годы</w:t>
            </w:r>
          </w:p>
        </w:tc>
        <w:tc>
          <w:tcPr>
            <w:tcW w:w="1412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987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6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8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8" w:type="dxa"/>
            <w:gridSpan w:val="5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2 меро-при-ятий в год</w:t>
            </w:r>
          </w:p>
        </w:tc>
        <w:tc>
          <w:tcPr>
            <w:tcW w:w="1202" w:type="dxa"/>
            <w:gridSpan w:val="4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3 меро-при-ятий в год</w:t>
            </w:r>
          </w:p>
        </w:tc>
        <w:tc>
          <w:tcPr>
            <w:tcW w:w="1262" w:type="dxa"/>
            <w:gridSpan w:val="3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2 меро-при-ятий в год</w:t>
            </w:r>
          </w:p>
        </w:tc>
      </w:tr>
      <w:tr>
        <w:trPr>
          <w:cantSplit w:val="true"/>
        </w:trPr>
        <w:tc>
          <w:tcPr>
            <w:tcW w:w="7617" w:type="dxa"/>
            <w:gridSpan w:val="13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98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1125,0</w:t>
            </w:r>
          </w:p>
        </w:tc>
        <w:tc>
          <w:tcPr>
            <w:tcW w:w="84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1125,0</w:t>
            </w:r>
          </w:p>
        </w:tc>
        <w:tc>
          <w:tcPr>
            <w:tcW w:w="84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4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1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19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246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7617" w:type="dxa"/>
            <w:gridSpan w:val="13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98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84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84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844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</w:r>
          </w:p>
        </w:tc>
        <w:tc>
          <w:tcPr>
            <w:tcW w:w="1201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19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1246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Book Antiqua" w:hAnsi="Book Antiqua"/>
          <w:b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  <w:r>
        <w:br w:type="page"/>
      </w:r>
    </w:p>
    <w:p>
      <w:pPr>
        <w:pStyle w:val="Normal"/>
        <w:shd w:val="clear" w:color="auto" w:fill="FFFFFF"/>
        <w:ind w:left="5670" w:hanging="0"/>
        <w:rPr/>
      </w:pPr>
      <w:r>
        <w:rPr>
          <w:rFonts w:ascii="Book Antiqua" w:hAnsi="Book Antiqua"/>
          <w:color w:val="000000"/>
        </w:rPr>
        <w:t xml:space="preserve">Приложение 3 </w:t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>к муниципальной программе «</w:t>
      </w:r>
      <w:r>
        <w:rPr>
          <w:rFonts w:cs="Arial" w:ascii="Book Antiqua" w:hAnsi="Book Antiqua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Book Antiqua" w:hAnsi="Book Antiqua"/>
          <w:b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Book Antiqua" w:hAnsi="Book Antiqua"/>
          <w:b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Ресурсное обеспечение и прогнозная (справочная) оценка расходов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Book Antiqua" w:hAnsi="Book Antiqua"/>
          <w:b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t>на реализацию муниципальной программы из различных источников финансирования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Book Antiqua" w:hAnsi="Book Antiqua"/>
          <w:b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</w:r>
    </w:p>
    <w:tbl>
      <w:tblPr>
        <w:tblStyle w:val="a4"/>
        <w:tblW w:w="14067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87"/>
        <w:gridCol w:w="4379"/>
        <w:gridCol w:w="1839"/>
        <w:gridCol w:w="1985"/>
        <w:gridCol w:w="1266"/>
        <w:gridCol w:w="1274"/>
        <w:gridCol w:w="1236"/>
      </w:tblGrid>
      <w:tr>
        <w:trPr>
          <w:tblHeader w:val="true"/>
          <w:trHeight w:val="581" w:hRule="atLeast"/>
          <w:cantSplit w:val="true"/>
        </w:trPr>
        <w:tc>
          <w:tcPr>
            <w:tcW w:w="2087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3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39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Ответствен-ный исполнитель</w:t>
            </w:r>
          </w:p>
        </w:tc>
        <w:tc>
          <w:tcPr>
            <w:tcW w:w="1985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Источник финансиро-вания</w:t>
            </w:r>
          </w:p>
        </w:tc>
        <w:tc>
          <w:tcPr>
            <w:tcW w:w="3776" w:type="dxa"/>
            <w:gridSpan w:val="3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Оценка расходов реализации Программы по годам, тыс.руб.</w:t>
            </w:r>
          </w:p>
        </w:tc>
      </w:tr>
      <w:tr>
        <w:trPr>
          <w:tblHeader w:val="true"/>
          <w:cantSplit w:val="true"/>
        </w:trPr>
        <w:tc>
          <w:tcPr>
            <w:tcW w:w="2087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379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39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6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4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36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>
        <w:trPr>
          <w:tblHeader w:val="true"/>
          <w:cantSplit w:val="true"/>
        </w:trPr>
        <w:tc>
          <w:tcPr>
            <w:tcW w:w="208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9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375" w:hRule="atLeast"/>
          <w:cantSplit w:val="true"/>
        </w:trPr>
        <w:tc>
          <w:tcPr>
            <w:tcW w:w="2087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79" w:type="dxa"/>
            <w:vMerge w:val="restart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«Развитие культуры внутригородского муниципального образования города Севастополя Качинский муниципальный округ» </w:t>
            </w:r>
          </w:p>
        </w:tc>
        <w:tc>
          <w:tcPr>
            <w:tcW w:w="1839" w:type="dxa"/>
            <w:vMerge w:val="restart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1125,0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67" w:hRule="atLeast"/>
          <w:cantSplit w:val="true"/>
        </w:trPr>
        <w:tc>
          <w:tcPr>
            <w:tcW w:w="2087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437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83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cantSplit w:val="true"/>
        </w:trPr>
        <w:tc>
          <w:tcPr>
            <w:tcW w:w="2087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437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83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087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«Праздники»</w:t>
            </w:r>
          </w:p>
        </w:tc>
        <w:tc>
          <w:tcPr>
            <w:tcW w:w="1839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cantSplit w:val="true"/>
        </w:trPr>
        <w:tc>
          <w:tcPr>
            <w:tcW w:w="2087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437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83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cantSplit w:val="true"/>
        </w:trPr>
        <w:tc>
          <w:tcPr>
            <w:tcW w:w="2087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437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83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087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«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Военно-патриотическое воспитание</w:t>
            </w:r>
            <w:r>
              <w:rPr>
                <w:rFonts w:ascii="Book Antiqua" w:hAnsi="Book Antiqua"/>
                <w:sz w:val="24"/>
                <w:szCs w:val="24"/>
              </w:rPr>
              <w:t>»</w:t>
            </w:r>
          </w:p>
        </w:tc>
        <w:tc>
          <w:tcPr>
            <w:tcW w:w="1839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256,0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0,0</w:t>
            </w:r>
          </w:p>
        </w:tc>
      </w:tr>
      <w:tr>
        <w:trPr>
          <w:cantSplit w:val="true"/>
        </w:trPr>
        <w:tc>
          <w:tcPr>
            <w:tcW w:w="2087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437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83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>
                <w:rFonts w:ascii="Book Antiqua" w:hAnsi="Book Antiqua"/>
                <w:color w:val="000000"/>
              </w:rPr>
              <w:t>256,0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0,0</w:t>
            </w:r>
          </w:p>
        </w:tc>
      </w:tr>
      <w:tr>
        <w:trPr>
          <w:cantSplit w:val="true"/>
        </w:trPr>
        <w:tc>
          <w:tcPr>
            <w:tcW w:w="2087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437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839" w:type="dxa"/>
            <w:vMerge w:val="continue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99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422F-8757-4DCD-997A-ECD7AAF1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Application>LibreOffice/6.3.1.2$Windows_x86 LibreOffice_project/b79626edf0065ac373bd1df5c28bd630b4424273</Application>
  <Pages>27</Pages>
  <Words>4350</Words>
  <Characters>34763</Characters>
  <CharactersWithSpaces>39096</CharactersWithSpaces>
  <Paragraphs>462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2016-11-24T08:46:00Z</dcterms:created>
  <dc:creator>User</dc:creator>
  <dc:description/>
  <dc:language>ru-RU</dc:language>
  <cp:lastModifiedBy/>
  <cp:lastPrinted>2019-12-02T16:04:50Z</cp:lastPrinted>
  <dcterms:modified xsi:type="dcterms:W3CDTF">2019-12-02T16:05:23Z</dcterms:modified>
  <cp:revision>58</cp:revision>
  <dc:subject/>
  <dc:title>Балаклавська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