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ascii="Book Antiqua" w:hAnsi="Book Antiqua"/>
          <w:b/>
          <w:i/>
          <w:sz w:val="40"/>
          <w:szCs w:val="40"/>
        </w:rPr>
        <w:t>8</w:t>
      </w:r>
      <w:r>
        <w:rPr>
          <w:rFonts w:ascii="Book Antiqua" w:hAnsi="Book Antiqua"/>
          <w:b/>
          <w:i/>
          <w:sz w:val="40"/>
          <w:szCs w:val="40"/>
        </w:rPr>
        <w:t>7-МА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25 декабря 2019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утверждении Порядка расходования средств целевой субвенции из бюджета города Севастополя бюджетам внутригородских муниципальных образований города Севастополя на исполнение отдельных государственных полномочий </w:t>
            </w:r>
          </w:p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bCs w:val="false"/>
          <w:color w:val="000000"/>
          <w:sz w:val="24"/>
          <w:szCs w:val="24"/>
          <w:lang w:bidi="ru-RU"/>
        </w:rPr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Законами города Севастополя от 30.12.2014 №102-ЗС «О местном самоуправлении в городе Севастополе», от 29.12.2016 № 314-ЗС «О наделении органов местного самоуправления в городе Севастополе отдельными государственными полномочиями города Севастополя»,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год и плановый период 2021 и 2022 годов»,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Утвердить Порядок расходования средств целевой субвенции из бюджета города Севастополя бюджетам внутригородских муниципальных образований города Севастополя на исполнение отдельных государственных полномочий (ПРИЛОЖЕНИЕ).</w:t>
      </w:r>
    </w:p>
    <w:p>
      <w:pPr>
        <w:pStyle w:val="Normal"/>
        <w:widowControl w:val="false"/>
        <w:ind w:firstLine="709"/>
        <w:jc w:val="both"/>
        <w:rPr>
          <w:rFonts w:ascii="Book Antiqua" w:hAnsi="Book Antiqua"/>
          <w:b/>
          <w:b/>
          <w:sz w:val="26"/>
          <w:szCs w:val="26"/>
        </w:rPr>
      </w:pPr>
      <w:r>
        <w:rPr>
          <w:rFonts w:ascii="Book Antiqua" w:hAnsi="Book Antiqua"/>
          <w:color w:val="000000"/>
          <w:lang w:bidi="ru-RU"/>
        </w:rPr>
        <w:t>2. Считать утратившим силу Постановление местной администрации Качинского муниципального округа от 27 марта 2017 года № 32-МА «Об утверждении Порядка расходования средств целевой субвенции на исполнение отдельных государственных полномочий внутригородским муниципальным образованием города Севастополя Качинский муниципальный округ» с 25 декабря 2019 года.</w:t>
      </w:r>
    </w:p>
    <w:p>
      <w:pPr>
        <w:pStyle w:val="NoSpacing"/>
        <w:ind w:left="709" w:hanging="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left="851"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3. Обнародовать настоящее постановление на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left="851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Настоящее постановление вступает в силу со дня официального обнародования.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left="851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Style w:val="a4"/>
        <w:tblW w:w="942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8"/>
        <w:gridCol w:w="2163"/>
        <w:gridCol w:w="1736"/>
      </w:tblGrid>
      <w:tr>
        <w:trPr/>
        <w:tc>
          <w:tcPr>
            <w:tcW w:w="5528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15"/>
        <w:keepNext w:val="true"/>
        <w:keepLines/>
        <w:shd w:val="clear" w:color="auto" w:fill="auto"/>
        <w:spacing w:lineRule="exact" w:line="270" w:before="0" w:after="301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15"/>
        <w:keepNext w:val="true"/>
        <w:keepLines/>
        <w:shd w:val="clear" w:color="auto" w:fill="auto"/>
        <w:spacing w:lineRule="exact" w:line="270" w:before="0" w:after="301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15"/>
        <w:keepNext w:val="true"/>
        <w:keepLines/>
        <w:shd w:val="clear" w:color="auto" w:fill="auto"/>
        <w:spacing w:lineRule="exact" w:line="270" w:before="0" w:after="301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15"/>
        <w:keepNext w:val="true"/>
        <w:keepLines/>
        <w:shd w:val="clear" w:color="auto" w:fill="auto"/>
        <w:spacing w:lineRule="exact" w:line="270" w:before="0" w:after="301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15"/>
        <w:keepNext w:val="true"/>
        <w:keepLines/>
        <w:shd w:val="clear" w:color="auto" w:fill="auto"/>
        <w:spacing w:lineRule="exact" w:line="270" w:before="0" w:after="301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15"/>
        <w:keepNext w:val="true"/>
        <w:keepLines/>
        <w:shd w:val="clear" w:color="auto" w:fill="auto"/>
        <w:spacing w:lineRule="exact" w:line="270" w:before="0" w:after="301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15"/>
        <w:keepNext w:val="true"/>
        <w:keepLines/>
        <w:shd w:val="clear" w:color="auto" w:fill="auto"/>
        <w:spacing w:lineRule="exact" w:line="270" w:before="0" w:after="301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caps/>
          <w:sz w:val="20"/>
          <w:szCs w:val="20"/>
        </w:rPr>
        <w:t>Приложение</w:t>
      </w:r>
    </w:p>
    <w:p>
      <w:pPr>
        <w:pStyle w:val="NoSpacing"/>
        <w:ind w:left="5387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</w:r>
    </w:p>
    <w:p>
      <w:pPr>
        <w:pStyle w:val="NoSpacing"/>
        <w:ind w:left="5387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УТВЕРЖДЕН</w:t>
      </w:r>
    </w:p>
    <w:p>
      <w:pPr>
        <w:pStyle w:val="NoSpacing"/>
        <w:ind w:left="5387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постановлением</w:t>
      </w:r>
    </w:p>
    <w:p>
      <w:pPr>
        <w:pStyle w:val="NoSpacing"/>
        <w:ind w:left="5387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местной администрации </w:t>
      </w:r>
    </w:p>
    <w:p>
      <w:pPr>
        <w:pStyle w:val="NoSpacing"/>
        <w:ind w:left="5387" w:hang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Качинского муниципального округа</w:t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sz w:val="20"/>
          <w:szCs w:val="20"/>
        </w:rPr>
        <w:t>от 25 января 2019 № 170-МА</w:t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widowControl w:val="false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</w:r>
    </w:p>
    <w:p>
      <w:pPr>
        <w:pStyle w:val="Normal"/>
        <w:widowControl w:val="false"/>
        <w:jc w:val="center"/>
        <w:rPr>
          <w:rFonts w:ascii="Book Antiqua" w:hAnsi="Book Antiqua"/>
          <w:b/>
          <w:b/>
          <w:caps/>
          <w:sz w:val="26"/>
          <w:szCs w:val="26"/>
        </w:rPr>
      </w:pPr>
      <w:r>
        <w:rPr>
          <w:rFonts w:ascii="Book Antiqua" w:hAnsi="Book Antiqua"/>
          <w:b/>
          <w:caps/>
          <w:sz w:val="26"/>
          <w:szCs w:val="26"/>
        </w:rPr>
        <w:t xml:space="preserve">Порядок </w:t>
      </w:r>
    </w:p>
    <w:p>
      <w:pPr>
        <w:pStyle w:val="Normal"/>
        <w:widowControl w:val="false"/>
        <w:jc w:val="center"/>
        <w:rPr>
          <w:rFonts w:ascii="Book Antiqua" w:hAnsi="Book Antiqua"/>
          <w:b/>
          <w:b/>
          <w:sz w:val="26"/>
          <w:szCs w:val="26"/>
        </w:rPr>
      </w:pPr>
      <w:r>
        <w:rPr>
          <w:rFonts w:ascii="Book Antiqua" w:hAnsi="Book Antiqua"/>
          <w:b/>
        </w:rPr>
        <w:t>расходования средств целевой субвенции из бюджета города Севастополя бюджетам внутригородских муниципальных образований города Севастополя на исполнение отдельных государственных полномочий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Настоящий Порядок разработан в соответствии с законодательством Российской Федерации и Севастополя и регулирует в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год и плановый период 2021 и 2022 годов» 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2. Расходование средств субвенции для реализации отдельных государственных полномочий (далее – субвенции) осуществляется в пределах бюджетных ассигнований, предусмотренных на эти цели в местном бюджете, по соответствующим целевым статьям расходов местного бюджета.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3. Объем предоставленной субвенций из бюджета города Севастополя местному бюджету на осуществление отдельных государственных полномочий в сфере благоустройства по направлениям расходования средств определяется Постановлением Правительства Севастополя № 677-</w:t>
      </w:r>
      <w:r>
        <w:rPr>
          <w:rFonts w:ascii="Book Antiqua" w:hAnsi="Book Antiqua"/>
          <w:color w:val="000000"/>
          <w:lang w:bidi="ru-RU"/>
        </w:rPr>
        <w:t>ПП</w:t>
      </w:r>
      <w:r>
        <w:rPr>
          <w:rFonts w:ascii="Book Antiqua" w:hAnsi="Book Antiqua"/>
        </w:rPr>
        <w:t>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4. Объем финансовых средств, предусмотренных на оплату труда, начисления на заработную плату (отчисления в пенсионный фонд, фонд социального страхования, отчисления на медицинское страхование), на прочие расходы по содержанию муниципальных служащих, предусмотренный в составе субвенций из бюджета города Севастополя местному бюджету на осуществление отдельных государственных полномочий в сфере благоустройства, определяется Постановлением Правительства Севастополя № 677-</w:t>
      </w:r>
      <w:r>
        <w:rPr>
          <w:rFonts w:ascii="Book Antiqua" w:hAnsi="Book Antiqua"/>
          <w:color w:val="000000"/>
          <w:lang w:bidi="ru-RU"/>
        </w:rPr>
        <w:t>ПП</w:t>
      </w:r>
      <w:r>
        <w:rPr>
          <w:rFonts w:ascii="Book Antiqua" w:hAnsi="Book Antiqua"/>
        </w:rPr>
        <w:t>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Указанный объем финансовых средств является предельным (максимальным). Превышение объема указанных финансовых средств не допускается.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5. Финансовые средства на осуществление переданных полномочий расходуются на проведение следующих мероприятий по: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1) санитарной очистке территорий муниципальных образований;</w:t>
      </w:r>
    </w:p>
    <w:p>
      <w:pPr>
        <w:pStyle w:val="Normal"/>
        <w:widowControl w:val="false"/>
        <w:shd w:val="clear" w:color="auto" w:fill="FFFFFF"/>
        <w:ind w:left="851" w:hanging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2)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>
      <w:pPr>
        <w:pStyle w:val="Normal"/>
        <w:widowControl w:val="false"/>
        <w:shd w:val="clear" w:color="auto" w:fill="FFFFFF"/>
        <w:ind w:left="851" w:hanging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3) созданию, содержанию зеленых насаждений, обеспечению ухода за ними;</w:t>
      </w:r>
    </w:p>
    <w:p>
      <w:pPr>
        <w:pStyle w:val="Normal"/>
        <w:widowControl w:val="false"/>
        <w:shd w:val="clear" w:color="auto" w:fill="FFFFFF"/>
        <w:ind w:left="851" w:hanging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4) созданию, приобретению, установке, текущему ремонту и реконструкции элементов благоустройства;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5) обустройству площадок для установки контейнеров для сбора твердых коммунальных отходов;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6) обустройству и ремонту тротуаров (включая твердое покрытие парков, скверов, бульваров);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7) обустройству и содержанию спортивных и детских игровых площадок (комплексов);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8) ремонту и содержанию внутриквартальных дорог;</w:t>
      </w:r>
    </w:p>
    <w:p>
      <w:pPr>
        <w:pStyle w:val="Normal"/>
        <w:widowControl w:val="false"/>
        <w:shd w:val="clear" w:color="auto" w:fill="FFFFFF"/>
        <w:ind w:firstLine="1560"/>
        <w:jc w:val="both"/>
        <w:rPr>
          <w:rFonts w:ascii="Book Antiqua" w:hAnsi="Book Antiqua"/>
        </w:rPr>
      </w:pPr>
      <w:r>
        <w:rPr>
          <w:rFonts w:ascii="Book Antiqua" w:hAnsi="Book Antiqua"/>
        </w:rPr>
        <w:t>9) содержанию и благоустройству кладбищ;</w:t>
      </w:r>
    </w:p>
    <w:p>
      <w:pPr>
        <w:pStyle w:val="Normal"/>
        <w:widowControl w:val="false"/>
        <w:shd w:val="clear" w:color="auto" w:fill="FFFFFF"/>
        <w:ind w:firstLine="1560"/>
        <w:jc w:val="both"/>
        <w:rPr>
          <w:rFonts w:ascii="Book Antiqua" w:hAnsi="Book Antiqua"/>
        </w:rPr>
      </w:pPr>
      <w:r>
        <w:rPr>
          <w:rFonts w:ascii="Book Antiqua" w:hAnsi="Book Antiqua"/>
        </w:rPr>
        <w:t>10) содержанию и благоустройству пляжей;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11) оплате труда, взносам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полномочия.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6. Субвенции носят целевой характер и не могут быть использованы на цели, не предусмотренные пунктом 5 настоящего порядка.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7. В случае сложившейся экономии по расходам по переданным полномочиям, средства субвенции могут быть перераспределены по на финансовое обеспечение полномочий ВМО Качинский МО, предусмотренных подпунктами 1-10 пункта 5 настоящего порядка.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8. Поступившие в местный бюджет из бюджета города Севастополя субвенции расходуются с целями и условиями их предоставления на исполнение расходных обязательств ВМО Качинский МО, возникших при выполнении отдельных государственных полномочий города Севастополя, переданных органам местного самоуправления в городе Севастополе. Главным распорядителем бюджетных средств по средствам субвенции, выделенной местному бюджету, является Департамент городского хозяйства города Севастополя (далее - главный распорядитель бюджетных средств).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9. Департамент городского хозяйства заключает Соглашение с местной администрацией Качинского муниципального округа при условии предоставления копий: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а) решения совета ВМО Качинский МО о бюджете на соответствующий финансовый год (с учетом изменений);</w:t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б) постановления местной администрации Качинского муниципального округа о Порядке расходования средств целевой субвенции из бюджета города Севастополя бюджетам внутригородских муниципальных образований города Севастополя на исполнение отдельных государственных полномочий;</w:t>
      </w:r>
    </w:p>
    <w:p>
      <w:pPr>
        <w:pStyle w:val="Normal"/>
        <w:tabs>
          <w:tab w:val="clear" w:pos="709"/>
          <w:tab w:val="left" w:pos="5424" w:leader="none"/>
        </w:tabs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в) постановления местной администрации Качинского муниципального округа «Об утверждении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tabs>
          <w:tab w:val="clear" w:pos="709"/>
          <w:tab w:val="left" w:pos="5424" w:leader="none"/>
        </w:tabs>
        <w:ind w:left="85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left="851"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10. В случае внесения изменений в правовые акты, указанные в пункте 9. Настоящего порядка, местная администрация Качинского муниципального округа уведомляет Департамент городского хозяйства города Севастополя в течение пяти дней со дня их принятия путем представления копий актов, заверенных в установленном порядке.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11. Порядок предоставления субвенции: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11.1. Главным распорядителем бюджетных средств по средствам субвенции является Департамент городского хозяйства города Севастополя (далее - главный распорядитель бюджетных средств).</w:t>
      </w:r>
    </w:p>
    <w:p>
      <w:pPr>
        <w:pStyle w:val="Normal"/>
        <w:ind w:left="-62" w:right="-284" w:firstLine="771"/>
        <w:rPr>
          <w:rFonts w:ascii="Book Antiqua" w:hAnsi="Book Antiqua"/>
        </w:rPr>
      </w:pPr>
      <w:r>
        <w:rPr>
          <w:rFonts w:ascii="Book Antiqua" w:hAnsi="Book Antiqua"/>
        </w:rPr>
        <w:t>11.2.. Получателем субвенции является Местная администрация Качинского муниципального округа.</w:t>
      </w:r>
    </w:p>
    <w:p>
      <w:pPr>
        <w:pStyle w:val="Normal"/>
        <w:ind w:left="-62" w:right="-284" w:firstLine="771"/>
        <w:rPr>
          <w:rFonts w:ascii="Book Antiqua" w:hAnsi="Book Antiqua"/>
        </w:rPr>
      </w:pPr>
      <w:r>
        <w:rPr>
          <w:rFonts w:ascii="Book Antiqua" w:hAnsi="Book Antiqua"/>
        </w:rPr>
        <w:t>11.3. На основании представленных документов, предусмотренных пунктов 9. настоящего Порядка, при их соответствии требованиям указанного пункта между главным распорядителем бюджетных средств и получателем субвенции заключается Соглашение.</w:t>
      </w:r>
    </w:p>
    <w:p>
      <w:pPr>
        <w:pStyle w:val="Normal"/>
        <w:ind w:left="-62" w:right="-284" w:firstLine="771"/>
        <w:rPr>
          <w:rFonts w:ascii="Book Antiqua" w:hAnsi="Book Antiqua"/>
        </w:rPr>
      </w:pPr>
      <w:r>
        <w:rPr>
          <w:rFonts w:ascii="Book Antiqua" w:hAnsi="Book Antiqua"/>
        </w:rPr>
        <w:t>11.4. Субвенция перечисляется после заключения Соглашения, согласно Постановлению Правительства Севастополя № 677-</w:t>
      </w:r>
      <w:r>
        <w:rPr>
          <w:rFonts w:ascii="Book Antiqua" w:hAnsi="Book Antiqua"/>
          <w:color w:val="000000"/>
          <w:lang w:bidi="ru-RU"/>
        </w:rPr>
        <w:t>ПП</w:t>
      </w:r>
      <w:r>
        <w:rPr>
          <w:rFonts w:ascii="Book Antiqua" w:hAnsi="Book Antiqua"/>
        </w:rPr>
        <w:t>.</w:t>
      </w:r>
    </w:p>
    <w:p>
      <w:pPr>
        <w:pStyle w:val="Normal"/>
        <w:ind w:left="-62" w:right="-284" w:firstLine="771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</w:rPr>
        <w:t>11.5.Формирование кассового плана получателем субвенции осуществляется по форме, утверждённой Постановлением Правительства Севастополя № 677-</w:t>
      </w:r>
      <w:r>
        <w:rPr>
          <w:rFonts w:ascii="Book Antiqua" w:hAnsi="Book Antiqua"/>
          <w:color w:val="000000"/>
          <w:lang w:bidi="ru-RU"/>
        </w:rPr>
        <w:t>ПП.</w:t>
      </w:r>
    </w:p>
    <w:p>
      <w:pPr>
        <w:pStyle w:val="Normal"/>
        <w:ind w:left="-62" w:right="-284" w:firstLine="771"/>
        <w:rPr>
          <w:rFonts w:ascii="Book Antiqua" w:hAnsi="Book Antiqua"/>
        </w:rPr>
      </w:pPr>
      <w:r>
        <w:rPr>
          <w:rFonts w:ascii="Book Antiqua" w:hAnsi="Book Antiqua"/>
          <w:color w:val="000000"/>
          <w:lang w:bidi="ru-RU"/>
        </w:rPr>
        <w:t xml:space="preserve">Утвержденный кассовый план предоставляется </w:t>
      </w:r>
      <w:r>
        <w:rPr>
          <w:rFonts w:ascii="Book Antiqua" w:hAnsi="Book Antiqua"/>
        </w:rPr>
        <w:t>главному распорядителю бюджетных средств в течение двух рабочих дней после заключения Соглашения.</w:t>
      </w:r>
    </w:p>
    <w:p>
      <w:pPr>
        <w:pStyle w:val="Normal"/>
        <w:ind w:left="-62" w:right="-284" w:firstLine="771"/>
        <w:rPr>
          <w:rFonts w:ascii="Book Antiqua" w:hAnsi="Book Antiqua"/>
        </w:rPr>
      </w:pPr>
      <w:r>
        <w:rPr>
          <w:rFonts w:ascii="Book Antiqua" w:hAnsi="Book Antiqua"/>
        </w:rPr>
        <w:t>11.6. Перечисление субвенции производится в соответствии с порядком осуществления территориальными органами федерального казначейства полномочий получателя средств бюджета субъекта Российской Федерации по перечислению межбюджетных трансфертов, предоставляемых из бюджета субъекта Российской Федерации в местный бюджет в форме субсидий, субвенций и иных межбюджетных трансфертов, имеющих целевое назначение, действующим на момент перечисления средств.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11.7. Для перечисления субвенции Получатель субвенции ежемесячно предоставляет главному распорядителю бюджетных средств заявку по форме, утверждённой Постановлением Правительства Севастополя № 677-</w:t>
      </w:r>
      <w:r>
        <w:rPr>
          <w:rFonts w:ascii="Book Antiqua" w:hAnsi="Book Antiqua"/>
          <w:color w:val="000000"/>
          <w:lang w:bidi="ru-RU"/>
        </w:rPr>
        <w:t>ПП в первый рабочий день месяца</w:t>
      </w:r>
      <w:r>
        <w:rPr>
          <w:rFonts w:ascii="Book Antiqua" w:hAnsi="Book Antiqua"/>
        </w:rPr>
        <w:t>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Объем финансовых средств, указанный в заявке, не должен превышать объем по кассовому плану на текущий месяц либо за период с начала года.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11.8. Перечисление субвенции осуществляется ежемесячно в течение 5 рабочих дней с даты предоставления заявки получателем субвенции.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11.9. Получатель субвенции при осуществлении кассовых расходов обязан представить необходимые подтверждающие документы по письменному требованию главного распорядителя бюджетных средств.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11.10. Получатели субвенции несут ответственность за целое использование средств субвенции и достоверность представляемых в соответствии с настоящим Порядком и Соглашением информации и отчетности.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11.11. Не использованные по состоянию на конец года бюджетного периода остатки субвенции подлежат возврату в бюджет города Севастополя.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Субвенция или ее часть в случае нецелевого использования подлежит возврату в бюджет города Севастополя в течение 10 дней после выставления требования главным распорядителем бюджетных средств.</w:t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12. Контроль за расходованием средств субвенций:</w:t>
      </w:r>
    </w:p>
    <w:p>
      <w:pPr>
        <w:pStyle w:val="Normal"/>
        <w:widowControl w:val="false"/>
        <w:shd w:val="clear" w:color="auto" w:fill="FFFFFF"/>
        <w:ind w:left="709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12.1. Контроль за расходованием средств, предоставленных местному </w:t>
      </w:r>
    </w:p>
    <w:p>
      <w:pPr>
        <w:pStyle w:val="Normal"/>
        <w:widowControl w:val="false"/>
        <w:shd w:val="clear" w:color="auto" w:fill="FFFFFF"/>
        <w:ind w:left="709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widowControl w:val="false"/>
        <w:shd w:val="clear" w:color="auto" w:fill="FFFFFF"/>
        <w:ind w:left="709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бюджету из бюджета города Севастополя в виде субвенций, осуществляет главный распорядитель бюджетных средств и орган государственного финансового контроля.</w:t>
      </w:r>
    </w:p>
    <w:p>
      <w:pPr>
        <w:pStyle w:val="Normal"/>
        <w:widowControl w:val="false"/>
        <w:shd w:val="clear" w:color="auto" w:fill="FFFFFF"/>
        <w:ind w:left="709" w:firstLine="851"/>
        <w:jc w:val="both"/>
        <w:rPr>
          <w:rFonts w:ascii="Book Antiqua" w:hAnsi="Book Antiqua"/>
        </w:rPr>
      </w:pPr>
      <w:r>
        <w:rPr>
          <w:rFonts w:ascii="Book Antiqua" w:hAnsi="Book Antiqua"/>
        </w:rPr>
        <w:t>12.2. Получатель субвенции ежемесячно до 5 числа месяца, следующего за отчетным периодом (а за декабрь текущего финансового года - в первый рабочий день следующего года), представляет главному распорядителю бюджетных средств отчет о расходовании средств субвенций из бюджета города Севастополя по форме, утверждённой Постановлением Правительства Севастополя № 677-ПП.</w:t>
      </w:r>
    </w:p>
    <w:p>
      <w:pPr>
        <w:pStyle w:val="Normal"/>
        <w:widowControl w:val="false"/>
        <w:shd w:val="clear" w:color="auto" w:fill="FFFFFF"/>
        <w:ind w:left="709" w:firstLine="851"/>
        <w:jc w:val="both"/>
        <w:rPr>
          <w:rFonts w:ascii="Book Antiqua" w:hAnsi="Book Antiqua"/>
        </w:rPr>
      </w:pPr>
      <w:r>
        <w:rPr>
          <w:rFonts w:ascii="Book Antiqua" w:hAnsi="Book Antiqua"/>
        </w:rPr>
        <w:t>12.3. Получатель субвенции ежеквартально до 15 числа месяца, следующего за отчетным кварталом (а за год - до 20 января года, следующего за отчетным), представляет главному распорядителю бюджетных средств отчет о расходовании средств субвенций из бюджета города Севастополя нарастающим итогом по форме, утверждённой Постановлением Правительства Севастополя № 677-ПП.</w:t>
      </w:r>
    </w:p>
    <w:p>
      <w:pPr>
        <w:pStyle w:val="Normal"/>
        <w:widowControl w:val="false"/>
        <w:shd w:val="clear" w:color="auto" w:fill="FFFFFF"/>
        <w:ind w:left="709" w:firstLine="851"/>
        <w:jc w:val="both"/>
        <w:rPr/>
      </w:pPr>
      <w:r>
        <w:rPr>
          <w:rFonts w:ascii="Book Antiqua" w:hAnsi="Book Antiqua"/>
        </w:rPr>
        <w:t>12.4. Получатель субвенции ежегодно до 20 января года, следующего за отчетным, представляет главному распорядителю бюджетных средств отчет о достижении целевых показателей по исполнению мероприятий по передаваемым отдельным полномочиям в сфере благоустройства по форме и в сроки, установленные главным распорядителем бюджетных средств.</w:t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i/>
          <w:i/>
        </w:rPr>
      </w:pPr>
      <w:r>
        <w:rPr>
          <w:rFonts w:ascii="Book Antiqua" w:hAnsi="Book Antiqua"/>
          <w:i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rmal"/>
        <w:widowControl w:val="false"/>
        <w:shd w:val="clear" w:color="auto" w:fill="FFFFFF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29" w:hanging="4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2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4"/>
    <w:qFormat/>
    <w:rsid w:val="00cc059e"/>
    <w:rPr>
      <w:sz w:val="27"/>
      <w:szCs w:val="27"/>
      <w:shd w:fill="FFFFFF" w:val="clear"/>
    </w:rPr>
  </w:style>
  <w:style w:type="character" w:styleId="34" w:customStyle="1">
    <w:name w:val="Основной текст с отступом 3 Знак"/>
    <w:basedOn w:val="DefaultParagraphFont"/>
    <w:link w:val="34"/>
    <w:qFormat/>
    <w:rsid w:val="004f65bc"/>
    <w:rPr>
      <w:sz w:val="16"/>
      <w:szCs w:val="16"/>
    </w:rPr>
  </w:style>
  <w:style w:type="character" w:styleId="Style10" w:customStyle="1">
    <w:name w:val="Основной текст_"/>
    <w:basedOn w:val="DefaultParagraphFont"/>
    <w:link w:val="36"/>
    <w:qFormat/>
    <w:rsid w:val="00da2d1f"/>
    <w:rPr>
      <w:spacing w:val="20"/>
      <w:sz w:val="73"/>
      <w:szCs w:val="73"/>
      <w:shd w:fill="FFFFFF" w:val="clear"/>
    </w:rPr>
  </w:style>
  <w:style w:type="character" w:styleId="Style11" w:customStyle="1">
    <w:name w:val="Верхний колонтитул Знак"/>
    <w:basedOn w:val="DefaultParagraphFont"/>
    <w:link w:val="af"/>
    <w:uiPriority w:val="99"/>
    <w:qFormat/>
    <w:rsid w:val="006e37b4"/>
    <w:rPr>
      <w:sz w:val="24"/>
      <w:szCs w:val="24"/>
    </w:rPr>
  </w:style>
  <w:style w:type="paragraph" w:styleId="Style12" w:customStyle="1">
    <w:name w:val="Заголовок"/>
    <w:next w:val="Style13"/>
    <w:qFormat/>
    <w:rsid w:val="007b1980"/>
    <w:pPr>
      <w:widowControl/>
      <w:bidi w:val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13">
    <w:name w:val="Body Text"/>
    <w:basedOn w:val="Normal"/>
    <w:rsid w:val="00127bc8"/>
    <w:pPr>
      <w:spacing w:before="0" w:after="12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8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4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f0"/>
    <w:uiPriority w:val="99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f3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5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before="120" w:after="300"/>
      <w:jc w:val="both"/>
    </w:pPr>
    <w:rPr>
      <w:sz w:val="28"/>
      <w:szCs w:val="28"/>
    </w:rPr>
  </w:style>
  <w:style w:type="paragraph" w:styleId="15" w:customStyle="1">
    <w:name w:val="Заголовок №1"/>
    <w:basedOn w:val="Normal"/>
    <w:link w:val="13"/>
    <w:qFormat/>
    <w:rsid w:val="00cc059e"/>
    <w:pPr>
      <w:widowControl w:val="false"/>
      <w:shd w:val="clear" w:color="auto" w:fill="FFFFFF"/>
      <w:spacing w:lineRule="auto" w:before="0" w:after="420"/>
      <w:jc w:val="center"/>
      <w:outlineLvl w:val="0"/>
    </w:pPr>
    <w:rPr>
      <w:b/>
      <w:bCs/>
      <w:sz w:val="27"/>
      <w:szCs w:val="27"/>
    </w:rPr>
  </w:style>
  <w:style w:type="paragraph" w:styleId="BodyTextIndent3">
    <w:name w:val="Body Text Indent 3"/>
    <w:basedOn w:val="Normal"/>
    <w:link w:val="35"/>
    <w:qFormat/>
    <w:rsid w:val="004f65bc"/>
    <w:pPr>
      <w:spacing w:before="0" w:after="120"/>
      <w:ind w:left="283" w:hanging="0"/>
    </w:pPr>
    <w:rPr>
      <w:sz w:val="16"/>
      <w:szCs w:val="16"/>
    </w:rPr>
  </w:style>
  <w:style w:type="paragraph" w:styleId="Style22" w:customStyle="1">
    <w:name w:val="Нормальный (таблица)"/>
    <w:basedOn w:val="Normal"/>
    <w:next w:val="Normal"/>
    <w:qFormat/>
    <w:rsid w:val="004f65bc"/>
    <w:pPr>
      <w:jc w:val="both"/>
    </w:pPr>
    <w:rPr>
      <w:rFonts w:ascii="Arial" w:hAnsi="Arial"/>
    </w:rPr>
  </w:style>
  <w:style w:type="paragraph" w:styleId="Style23" w:customStyle="1">
    <w:name w:val="Прижатый влево"/>
    <w:basedOn w:val="Normal"/>
    <w:next w:val="Normal"/>
    <w:qFormat/>
    <w:rsid w:val="004f65bc"/>
    <w:pPr/>
    <w:rPr>
      <w:rFonts w:ascii="Arial" w:hAnsi="Arial"/>
    </w:rPr>
  </w:style>
  <w:style w:type="paragraph" w:styleId="35" w:customStyle="1">
    <w:name w:val="Основной текст3"/>
    <w:basedOn w:val="Normal"/>
    <w:link w:val="af8"/>
    <w:qFormat/>
    <w:rsid w:val="00da2d1f"/>
    <w:pPr>
      <w:widowControl w:val="false"/>
      <w:shd w:val="clear" w:color="auto" w:fill="FFFFFF"/>
      <w:spacing w:lineRule="exact" w:line="900" w:before="1860" w:after="1440"/>
      <w:ind w:hanging="1060"/>
      <w:jc w:val="both"/>
    </w:pPr>
    <w:rPr>
      <w:spacing w:val="20"/>
      <w:sz w:val="73"/>
      <w:szCs w:val="73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889A-9AE6-4423-B363-F187ED24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LibreOffice/6.3.1.2$Windows_x86 LibreOffice_project/b79626edf0065ac373bd1df5c28bd630b4424273</Application>
  <Pages>7</Pages>
  <Words>1338</Words>
  <Characters>10250</Characters>
  <CharactersWithSpaces>11524</CharactersWithSpaces>
  <Paragraphs>73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2019-12-26T11:01:00Z</dcterms:created>
  <dc:creator>User</dc:creator>
  <dc:description/>
  <dc:language>ru-RU</dc:language>
  <cp:lastModifiedBy/>
  <cp:lastPrinted>2019-12-26T11:00:00Z</cp:lastPrinted>
  <dcterms:modified xsi:type="dcterms:W3CDTF">2020-06-04T15:52:51Z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