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>04-МА</w:t>
      </w:r>
    </w:p>
    <w:tbl>
      <w:tblPr>
        <w:tblW w:w="9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307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09 января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307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416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Об утверждении календарного плана мероприятий, направленных на участие в 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 на 20</w:t>
            </w:r>
            <w:r>
              <w:rPr>
                <w:rFonts w:eastAsia="SimSun" w:cs="Calibri" w:ascii="Book Antiqua" w:hAnsi="Book Antiqua"/>
                <w:b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год</w:t>
            </w:r>
          </w:p>
        </w:tc>
      </w:tr>
    </w:tbl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cs="Arial" w:ascii="Book Antiqua" w:hAnsi="Book Antiqua"/>
          <w:sz w:val="24"/>
          <w:szCs w:val="24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11.11.2019г. № 1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9-МА,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sz w:val="24"/>
          <w:szCs w:val="24"/>
        </w:rPr>
        <w:t xml:space="preserve">утвержденного </w:t>
      </w:r>
      <w:r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>
      <w:pPr>
        <w:pStyle w:val="Normal"/>
        <w:jc w:val="both"/>
        <w:rPr/>
      </w:pPr>
      <w:r>
        <w:rPr>
          <w:rFonts w:ascii="Book Antiqua" w:hAnsi="Book Antiqua"/>
          <w:sz w:val="24"/>
          <w:szCs w:val="24"/>
        </w:rPr>
        <w:t xml:space="preserve">1. </w:t>
        <w:tab/>
        <w:t>Утвердить календарный план мероприятий, направленных на 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 на 20</w:t>
      </w:r>
      <w:r>
        <w:rPr>
          <w:rFonts w:eastAsia="SimSun" w:cs="Calibri" w:ascii="Book Antiqua" w:hAnsi="Book Antiqua"/>
          <w:color w:val="00000A"/>
          <w:kern w:val="0"/>
          <w:sz w:val="24"/>
          <w:szCs w:val="24"/>
          <w:lang w:val="ru-RU" w:eastAsia="en-US" w:bidi="ar-SA"/>
        </w:rPr>
        <w:t>20</w:t>
      </w:r>
      <w:r>
        <w:rPr>
          <w:rFonts w:ascii="Book Antiqua" w:hAnsi="Book Antiqua"/>
          <w:sz w:val="24"/>
          <w:szCs w:val="24"/>
        </w:rPr>
        <w:t xml:space="preserve">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2. 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3. Ответственным лицом за подготовку и реализацию мероприятий календарного плана назначить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начальника общего отдела Ермолову А.О.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>3.1. Реализация мероприятий календарного плана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color w:val="000000"/>
          <w:sz w:val="28"/>
          <w:szCs w:val="28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9"/>
        <w:gridCol w:w="1742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4"/>
          <w:szCs w:val="24"/>
        </w:rPr>
      </w:pPr>
      <w:r>
        <w:rPr>
          <w:rFonts w:cs="Book Antiqua" w:ascii="Book Antiqua" w:hAnsi="Book Antiqua"/>
          <w:caps/>
          <w:sz w:val="24"/>
          <w:szCs w:val="24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№ 1 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 от      09.01.20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20г.</w:t>
      </w:r>
      <w:r>
        <w:rPr>
          <w:rFonts w:cs="Book Antiqua" w:ascii="Book Antiqua" w:hAnsi="Book Antiqua"/>
          <w:sz w:val="20"/>
          <w:szCs w:val="20"/>
        </w:rPr>
        <w:t xml:space="preserve"> № 04-МА</w:t>
      </w:r>
    </w:p>
    <w:p>
      <w:pPr>
        <w:pStyle w:val="Normal"/>
        <w:ind w:left="567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>мероприятий, направленных на участие в обеспечении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муниципального округа 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 xml:space="preserve">20 </w:t>
      </w:r>
      <w:r>
        <w:rPr>
          <w:rFonts w:ascii="Book Antiqua" w:hAnsi="Book Antiqua"/>
          <w:b/>
        </w:rPr>
        <w:t>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4"/>
        <w:tblW w:w="92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741"/>
        <w:gridCol w:w="4030"/>
        <w:gridCol w:w="2715"/>
      </w:tblGrid>
      <w:tr>
        <w:trPr>
          <w:tblHeader w:val="true"/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03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за подготовку и реализацию</w:t>
            </w:r>
          </w:p>
        </w:tc>
      </w:tr>
      <w:tr>
        <w:trPr>
          <w:trHeight w:val="3523" w:hRule="atLeast"/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Периодически</w:t>
            </w:r>
          </w:p>
        </w:tc>
        <w:tc>
          <w:tcPr>
            <w:tcW w:w="403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 местной администрации Качинского муниципального округа</w:t>
            </w:r>
          </w:p>
        </w:tc>
      </w:tr>
      <w:tr>
        <w:trPr>
          <w:trHeight w:val="1990" w:hRule="atLeast"/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Регулярно</w:t>
            </w:r>
          </w:p>
        </w:tc>
        <w:tc>
          <w:tcPr>
            <w:tcW w:w="403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 на информационных стендах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Периодически</w:t>
            </w:r>
          </w:p>
        </w:tc>
        <w:tc>
          <w:tcPr>
            <w:tcW w:w="403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Разработка, приобретение и распространение тематической наглядно-агитационной продукции: брошюр, памяток, листовок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Периодически</w:t>
            </w:r>
          </w:p>
        </w:tc>
        <w:tc>
          <w:tcPr>
            <w:tcW w:w="403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среди детей и молодежи о 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Периодически</w:t>
            </w:r>
          </w:p>
        </w:tc>
        <w:tc>
          <w:tcPr>
            <w:tcW w:w="403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публикации по противодействию 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на официальном сайте ВМО Качинский МО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SimSun" w:cs="Calibri"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Ежемесячно </w:t>
            </w:r>
          </w:p>
        </w:tc>
        <w:tc>
          <w:tcPr>
            <w:tcW w:w="403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плата охранных услуг(абонентская плата)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сентябр</w:t>
            </w:r>
            <w:r>
              <w:rPr>
                <w:rFonts w:eastAsia="SimSun" w:cs="Calibri" w:ascii="Times New Roman" w:hAnsi="Times New Roman"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я</w:t>
            </w:r>
          </w:p>
        </w:tc>
        <w:tc>
          <w:tcPr>
            <w:tcW w:w="40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7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bookmarkStart w:id="0" w:name="__DdeLink__1277_1714819642"/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  <w:bookmarkEnd w:id="0"/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403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и монтаж системы видеонаблюдения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SimSun" w:cs="Calibr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Calibri" w:ascii="Times New Roman" w:hAnsi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Ермолова А.О.-начальник общего отдела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Ознакомлена: 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sz w:val="24"/>
          <w:szCs w:val="24"/>
        </w:rPr>
        <w:t>Начальник общего отдела                                                                     А.О.Ермолова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mirrorMargins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7BC7-06BB-4A0E-8BB9-7124591B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LibreOffice/6.3.1.2$Windows_x86 LibreOffice_project/b79626edf0065ac373bd1df5c28bd630b4424273</Application>
  <Pages>4</Pages>
  <Words>558</Words>
  <Characters>4397</Characters>
  <CharactersWithSpaces>4982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2017-07-26T12:54:00Z</dcterms:created>
  <dc:creator>User</dc:creator>
  <dc:description/>
  <dc:language>ru-RU</dc:language>
  <cp:lastModifiedBy/>
  <cp:lastPrinted>2020-01-28T11:04:17Z</cp:lastPrinted>
  <dcterms:modified xsi:type="dcterms:W3CDTF">2020-01-28T11:05:38Z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