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12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23 января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оказание услуг по содержанию зеленых насаждений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9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10.01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2" w:name="__DdeLink__9438_1443913081"/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4" w:name="__DdeLink__94_2389230962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4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оказание услуг по содержанию зеленых насаждений</w:t>
      </w:r>
      <w:bookmarkStart w:id="5" w:name="__DdeLink__90_2245566794"/>
      <w:bookmarkEnd w:id="2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(обрезка деревьев, снос аварийных деревьев, уход за зелеными насаждениями (кустами, деревьями), выкашивание газонов улиц, парков и скверов и т.д.)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1 878 837,80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Один миллион восемьсот семьдесят восемь тысяч восемьсот тридцать семь рублей 80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оплату согласно заключенному </w:t>
      </w:r>
      <w:bookmarkStart w:id="6" w:name="__DdeLink__56_293654450912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6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ому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контракту </w:t>
      </w:r>
      <w:bookmarkStart w:id="7" w:name="__DdeLink__94_238923096212"/>
      <w:bookmarkEnd w:id="7"/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</w:t>
      </w:r>
      <w:bookmarkStart w:id="8" w:name="__DdeLink__94_23892309621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8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оказание услуг по содержанию зеленых насаждений.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5"/>
        <w:gridCol w:w="1232"/>
        <w:gridCol w:w="2716"/>
      </w:tblGrid>
      <w:tr>
        <w:trPr/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Application>LibreOffice/6.3.1.2$Windows_x86 LibreOffice_project/b79626edf0065ac373bd1df5c28bd630b4424273</Application>
  <Pages>2</Pages>
  <Words>370</Words>
  <Characters>2976</Characters>
  <CharactersWithSpaces>3363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2020-05-06T15:34:52Z</cp:lastPrinted>
  <dcterms:modified xsi:type="dcterms:W3CDTF">2020-05-06T15:36:28Z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