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№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13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6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4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5326"/>
      </w:tblGrid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12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октября  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2020 года</w:t>
            </w:r>
          </w:p>
        </w:tc>
        <w:tc>
          <w:tcPr>
            <w:tcW w:w="5326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436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 xml:space="preserve">О заключении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 xml:space="preserve"> муниципального контракта на оказание услуг по содержанию зеленых насаждений, обеспечение за ними</w:t>
            </w:r>
          </w:p>
        </w:tc>
      </w:tr>
    </w:tbl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В соответствии со служебной запиской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 xml:space="preserve">начальника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отдела ИОГП местной администрации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Жуковской Ю.Ю.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№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10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8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12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.10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textAlignment w:val="auto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1. Заключить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муниципальный контракт на оказание услуг по содержанию зеленых насаждений, обеспечение за ними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в с.Орловка, ул.Приморская, д.19 вокруг детской площадки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(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поставка саженцев можжевельника скального (сорт Мунглоу), высадка саженцев можжевельника скального, полив высаженных растений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).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b w:val="false"/>
          <w:b w:val="false"/>
          <w:bCs w:val="false"/>
        </w:rPr>
      </w:pP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ru-RU" w:bidi="ru-RU"/>
        </w:rPr>
        <w:t xml:space="preserve"> 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266 620,20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(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двести шестьдесят шесть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тысяч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шестьсот двадцать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рубл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ей,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20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копеек).</w:t>
      </w:r>
      <w:bookmarkStart w:id="0" w:name="_GoBack"/>
      <w:bookmarkEnd w:id="0"/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муниципальному контракту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>5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 Обнародовать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7.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</w:r>
    </w:p>
    <w:tbl>
      <w:tblPr>
        <w:tblW w:w="10200" w:type="dxa"/>
        <w:jc w:val="left"/>
        <w:tblInd w:w="25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131"/>
        <w:gridCol w:w="1566"/>
        <w:gridCol w:w="3503"/>
      </w:tblGrid>
      <w:tr>
        <w:trPr/>
        <w:tc>
          <w:tcPr>
            <w:tcW w:w="513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6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eastAsia="Times New Roman" w:cs="Book Antiqua"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3503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843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6d0cc5"/>
    <w:rPr>
      <w:rFonts w:ascii="Tahoma" w:hAnsi="Tahoma"/>
      <w:sz w:val="16"/>
      <w:szCs w:val="14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6d0cc5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LibreOffice/7.0.0.3$Windows_x86 LibreOffice_project/8061b3e9204bef6b321a21033174034a5e2ea88e</Application>
  <Pages>2</Pages>
  <Words>360</Words>
  <Characters>2920</Characters>
  <CharactersWithSpaces>3287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2020-11-25T10:24:27Z</cp:lastPrinted>
  <dcterms:modified xsi:type="dcterms:W3CDTF">2020-11-25T10:26:31Z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