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14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5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выполнение текущего ремонта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внутриквартальных проездов 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6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3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 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выполнение текущего ремонта внутриквартальных проездов по ул.Приморская. с.Орловка.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13 542 520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,00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тринадцать миллионов пятьсот сорок две тысячи пятьсот двадцать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 рублей, 00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7"/>
        <w:gridCol w:w="1570"/>
        <w:gridCol w:w="3503"/>
      </w:tblGrid>
      <w:tr>
        <w:trPr/>
        <w:tc>
          <w:tcPr>
            <w:tcW w:w="512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LibreOffice/7.0.0.3$Windows_x86 LibreOffice_project/8061b3e9204bef6b321a21033174034a5e2ea88e</Application>
  <Pages>2</Pages>
  <Words>339</Words>
  <Characters>2783</Characters>
  <CharactersWithSpaces>3132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2020-11-25T11:49:47Z</cp:lastPrinted>
  <dcterms:modified xsi:type="dcterms:W3CDTF">2020-11-25T11:53:17Z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