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firstLine="708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GoBack"/>
      <w:bookmarkEnd w:id="0"/>
      <w:r>
        <w:rPr/>
        <w:drawing>
          <wp:inline distT="0" distB="0" distL="0" distR="0">
            <wp:extent cx="676275" cy="80899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200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b/>
                <w:b/>
                <w:sz w:val="28"/>
                <w:szCs w:val="28"/>
                <w:u w:val="single"/>
              </w:rPr>
            </w:pPr>
            <w:r>
              <w:rPr>
                <w:rFonts w:cs="Calibri" w:ascii="Book Antiqua" w:hAnsi="Book Antiqua"/>
                <w:sz w:val="24"/>
                <w:szCs w:val="24"/>
                <w:lang w:eastAsia="en-US"/>
              </w:rPr>
              <w:t>25 декабря 2020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>
      <w:pPr>
        <w:pStyle w:val="NoSpacing"/>
        <w:ind w:firstLine="800"/>
        <w:rPr>
          <w:rFonts w:ascii="Book Antiqua" w:hAnsi="Book Antiqua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Book Antiqua" w:hAnsi="Book Antiqua"/>
          <w:b/>
          <w:b/>
          <w:i/>
          <w:i/>
          <w:color w:val="000000"/>
          <w:sz w:val="24"/>
          <w:szCs w:val="24"/>
        </w:rPr>
      </w:pPr>
      <w:r>
        <w:rPr>
          <w:rFonts w:ascii="Book Antiqua" w:hAnsi="Book Antiqua"/>
          <w:b/>
          <w:i/>
          <w:color w:val="000000"/>
          <w:sz w:val="24"/>
          <w:szCs w:val="24"/>
        </w:rPr>
        <w:t>Об утверждении</w:t>
      </w:r>
      <w:r>
        <w:rPr>
          <w:rFonts w:ascii="Book Antiqua" w:hAnsi="Book Antiqua"/>
          <w:i/>
          <w:color w:val="000000"/>
          <w:sz w:val="24"/>
          <w:szCs w:val="24"/>
        </w:rPr>
        <w:t> </w:t>
      </w:r>
      <w:r>
        <w:rPr>
          <w:rFonts w:ascii="Book Antiqua" w:hAnsi="Book Antiqua"/>
          <w:b/>
          <w:i/>
          <w:color w:val="000000"/>
          <w:sz w:val="24"/>
          <w:szCs w:val="24"/>
          <w:lang w:eastAsia="en-US"/>
        </w:rPr>
        <w:t>состава коллегиального органа</w:t>
      </w:r>
    </w:p>
    <w:p>
      <w:pPr>
        <w:pStyle w:val="Normal"/>
        <w:widowControl w:val="false"/>
        <w:spacing w:lineRule="auto" w:line="240" w:before="0" w:after="0"/>
        <w:rPr>
          <w:rFonts w:ascii="Book Antiqua" w:hAnsi="Book Antiqua"/>
          <w:b/>
          <w:b/>
          <w:i/>
          <w:i/>
          <w:color w:val="000000"/>
          <w:sz w:val="24"/>
          <w:szCs w:val="24"/>
        </w:rPr>
      </w:pPr>
      <w:r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Book Antiqua" w:hAnsi="Book Antiqua"/>
          <w:b/>
          <w:i/>
          <w:color w:val="000000"/>
          <w:sz w:val="24"/>
          <w:szCs w:val="24"/>
        </w:rPr>
        <w:t xml:space="preserve">        </w:t>
      </w:r>
      <w:r>
        <w:rPr>
          <w:rFonts w:cs="Times New Roman" w:ascii="Book Antiqua" w:hAnsi="Book Antiqua"/>
          <w:b w:val="false"/>
          <w:sz w:val="24"/>
          <w:szCs w:val="24"/>
        </w:rPr>
        <w:t>В соответствии с Указом Президента Российской Федерации                                   от 21 декабря 2017 г. № 618 "Об основных направлениях государственной политики по развитию конкуренции", Федеральным законам от 06 октября 2003 г. № 131-ФЗ «Об общих принципах организации местного самоуправления в Российской Федерации», распоряжение Правительства Российской Федерации 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Законом города Севастополя от 30 декабря 2014 г. № 102-ЗС «О местном самоуправлении в городе Севастополе»,</w:t>
      </w:r>
      <w:r>
        <w:rPr>
          <w:rFonts w:cs="Times New Roman"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Качинский муниципальный округ, </w:t>
      </w:r>
      <w:r>
        <w:rPr>
          <w:rFonts w:cs="Times New Roman" w:ascii="Book Antiqua" w:hAnsi="Book Antiqua"/>
          <w:b w:val="false"/>
          <w:sz w:val="24"/>
          <w:szCs w:val="24"/>
        </w:rPr>
        <w:t>утвержденного решением</w:t>
      </w:r>
      <w:r>
        <w:rPr>
          <w:rFonts w:cs="Times New Roman" w:ascii="Book Antiqua" w:hAnsi="Book Antiqua"/>
          <w:sz w:val="24"/>
          <w:szCs w:val="24"/>
        </w:rPr>
        <w:t xml:space="preserve"> </w:t>
      </w:r>
      <w:r>
        <w:rPr>
          <w:rFonts w:cs="Times New Roman" w:ascii="Book Antiqua" w:hAnsi="Book Antiqua"/>
          <w:b w:val="false"/>
          <w:sz w:val="24"/>
          <w:szCs w:val="24"/>
        </w:rPr>
        <w:t>Совета Качинского муниципального округа от 19.03.2015 № 13, Положением о местной администрации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13.05.2015 №14</w:t>
      </w:r>
      <w:r>
        <w:rPr>
          <w:rFonts w:ascii="Book Antiqua" w:hAnsi="Book Antiqua"/>
          <w:sz w:val="24"/>
          <w:szCs w:val="24"/>
        </w:rPr>
        <w:t xml:space="preserve">, </w:t>
      </w:r>
      <w:r>
        <w:rPr>
          <w:rFonts w:cs="Times New Roman" w:ascii="Book Antiqua" w:hAnsi="Book Antiqua"/>
          <w:b w:val="false"/>
          <w:sz w:val="24"/>
          <w:szCs w:val="24"/>
        </w:rPr>
        <w:t xml:space="preserve">во исполнение отдельного поручения Губернатора города Севастополя от 17 февраля 2019 года о принятии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города Севастополя и органов местного самоуправления в городе Севастополе путем принятия </w:t>
      </w:r>
      <w:r>
        <w:rPr>
          <w:rFonts w:cs="Times New Roman" w:ascii="Book Antiqua" w:hAnsi="Book Antiqua"/>
          <w:b w:val="false"/>
          <w:sz w:val="24"/>
          <w:szCs w:val="24"/>
        </w:rPr>
        <w:t>Н</w:t>
      </w:r>
      <w:r>
        <w:rPr>
          <w:rFonts w:cs="Times New Roman" w:ascii="Book Antiqua" w:hAnsi="Book Antiqua"/>
          <w:b w:val="false"/>
          <w:sz w:val="24"/>
          <w:szCs w:val="24"/>
        </w:rPr>
        <w:t>ПА об утверждении Положения об организации системы внутреннего обеспечения соответствия требованиям антимонопольного законодательства (антимонопольный комплаенс), принимая во внимание письмо Департамента экономического развития города Севастополя от 15.02.2019, исх.723/01-15-01.3-16/03/19</w:t>
      </w:r>
      <w:r>
        <w:rPr>
          <w:rFonts w:cs="Times New Roman" w:ascii="Book Antiqua" w:hAnsi="Book Antiqua"/>
          <w:b w:val="false"/>
          <w:sz w:val="24"/>
          <w:szCs w:val="24"/>
        </w:rPr>
        <w:t>, в соответствии с Постановлением №21-МА от 22.02.2019г. "Об утверждении Положения о организации системы внутреннего обеспечения соответствия требованиям антимонопольного законодательства (антимонопольный копплаенс) в органах самоуправления внутригородского муниципального образовани</w:t>
      </w:r>
      <w:r>
        <w:rPr>
          <w:rFonts w:cs="Times New Roman" w:ascii="Book Antiqua" w:hAnsi="Book Antiqua"/>
          <w:b w:val="false"/>
          <w:sz w:val="24"/>
          <w:szCs w:val="24"/>
        </w:rPr>
        <w:t>я</w:t>
      </w:r>
      <w:r>
        <w:rPr>
          <w:rFonts w:cs="Times New Roman" w:ascii="Book Antiqua" w:hAnsi="Book Antiqua"/>
          <w:b w:val="false"/>
          <w:sz w:val="24"/>
          <w:szCs w:val="24"/>
        </w:rPr>
        <w:t xml:space="preserve"> города Севастополя Качинский муниципальный округ"</w:t>
      </w:r>
      <w:r>
        <w:rPr>
          <w:rFonts w:cs="Times New Roman" w:ascii="Book Antiqua" w:hAnsi="Book Antiqua"/>
          <w:b w:val="false"/>
          <w:sz w:val="24"/>
          <w:szCs w:val="24"/>
        </w:rPr>
        <w:t xml:space="preserve">: </w:t>
      </w:r>
    </w:p>
    <w:p>
      <w:pPr>
        <w:pStyle w:val="Normal"/>
        <w:widowControl w:val="false"/>
        <w:spacing w:lineRule="atLeast" w:line="100" w:before="0" w:after="0"/>
        <w:ind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widowControl w:val="false"/>
        <w:spacing w:lineRule="atLeast" w:line="100" w:before="0" w:after="0"/>
        <w:ind w:firstLine="800"/>
        <w:jc w:val="center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ПОСТАНОВЛЯЮ:</w:t>
      </w:r>
    </w:p>
    <w:p>
      <w:pPr>
        <w:pStyle w:val="Normal"/>
        <w:widowControl w:val="false"/>
        <w:spacing w:lineRule="atLeast" w:line="100" w:before="0" w:after="0"/>
        <w:ind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 xml:space="preserve">Утвердить </w:t>
      </w:r>
      <w:r>
        <w:rPr>
          <w:rFonts w:ascii="Book Antiqua" w:hAnsi="Book Antiqua"/>
          <w:sz w:val="24"/>
          <w:szCs w:val="24"/>
          <w:lang w:eastAsia="en-US"/>
        </w:rPr>
        <w:t>коллегиальный орган, осуществляющий оценку эффективности организации  и функционирования антимонопольного комплаенса в местной администрации в следующем составе: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>- начальника финансово-экономического отдела Гладковой Т.С.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>-</w:t>
      </w:r>
      <w:r>
        <w:rPr>
          <w:rFonts w:ascii="Book Antiqua" w:hAnsi="Book Antiqua"/>
          <w:sz w:val="24"/>
          <w:szCs w:val="24"/>
          <w:lang w:eastAsia="en-US"/>
        </w:rPr>
        <w:t xml:space="preserve"> начальника </w:t>
      </w:r>
      <w:r>
        <w:rPr>
          <w:rFonts w:ascii="Book Antiqua" w:hAnsi="Book Antiqua"/>
          <w:sz w:val="24"/>
          <w:szCs w:val="24"/>
          <w:lang w:eastAsia="en-US"/>
        </w:rPr>
        <w:t>отдела исполнения отдельных государственных полномочий Жуковской Ю.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 xml:space="preserve">- главного </w:t>
      </w:r>
      <w:r>
        <w:rPr>
          <w:rFonts w:ascii="Book Antiqua" w:hAnsi="Book Antiqua"/>
          <w:sz w:val="24"/>
          <w:szCs w:val="24"/>
          <w:lang w:eastAsia="en-US"/>
        </w:rPr>
        <w:t>бухгалтера Бедовской М.А.</w:t>
      </w:r>
    </w:p>
    <w:p>
      <w:pPr>
        <w:pStyle w:val="Normal"/>
        <w:spacing w:lineRule="auto" w:line="240" w:before="0" w:after="0"/>
        <w:ind w:firstLine="709"/>
        <w:jc w:val="both"/>
        <w:rPr>
          <w:lang w:eastAsia="en-US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  <w:lang w:eastAsia="en-US"/>
        </w:rPr>
        <w:t>.</w:t>
      </w:r>
      <w:r>
        <w:rPr>
          <w:rFonts w:ascii="Book Antiqua" w:hAnsi="Book Antiqua"/>
          <w:sz w:val="24"/>
          <w:szCs w:val="24"/>
        </w:rPr>
        <w:t>К функциям коллегиального органа отн</w:t>
      </w:r>
      <w:r>
        <w:rPr>
          <w:rFonts w:ascii="Book Antiqua" w:hAnsi="Book Antiqua"/>
          <w:sz w:val="24"/>
          <w:szCs w:val="24"/>
          <w:lang w:eastAsia="en-US"/>
        </w:rPr>
        <w:t>ести</w:t>
      </w:r>
      <w:r>
        <w:rPr>
          <w:rFonts w:ascii="Book Antiqua" w:hAnsi="Book Antiqua"/>
          <w:sz w:val="24"/>
          <w:szCs w:val="24"/>
        </w:rPr>
        <w:t>:</w:t>
      </w:r>
    </w:p>
    <w:p>
      <w:pPr>
        <w:pStyle w:val="Normal"/>
        <w:widowControl w:val="false"/>
        <w:ind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2.1. рассмотрение и оценка плана мероприятий («дорожной карты») </w:t>
        <w:br/>
        <w:t>по снижению рисков нарушения антимонопольного законодательства органов местного самоуправления в части, касающейся функционирования антимонопольного комплаенса;</w:t>
      </w:r>
    </w:p>
    <w:p>
      <w:pPr>
        <w:pStyle w:val="Normal"/>
        <w:widowControl w:val="false"/>
        <w:ind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2.2. рассмотрение и согласование доклада об антимонопольном комплаенсе органов местного самоуправления</w:t>
      </w:r>
      <w:r>
        <w:rPr>
          <w:rFonts w:ascii="Book Antiqua" w:hAnsi="Book Antiqua"/>
          <w:sz w:val="24"/>
          <w:szCs w:val="24"/>
        </w:rPr>
        <w:t>;</w:t>
      </w:r>
    </w:p>
    <w:p>
      <w:pPr>
        <w:pStyle w:val="Normal"/>
        <w:widowControl w:val="false"/>
        <w:ind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2.3. </w:t>
      </w:r>
      <w:r>
        <w:rPr>
          <w:rFonts w:ascii="Book Antiqua" w:hAnsi="Book Antiqua"/>
          <w:sz w:val="24"/>
          <w:szCs w:val="24"/>
          <w:lang w:eastAsia="en-US"/>
        </w:rPr>
        <w:t>прочие в соответствии с действующим законодетельством.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Общему отделу местной администрации Качинского муниципального округа </w:t>
      </w:r>
      <w:r>
        <w:rPr>
          <w:rFonts w:ascii="Book Antiqua" w:hAnsi="Book Antiqua"/>
          <w:sz w:val="24"/>
          <w:szCs w:val="24"/>
        </w:rPr>
        <w:t>(Ермоловой А.О.) ознакомить с данным Постановлением ответственных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 Настоящее постановление подлежит обнародованию на информационном стенде, расположенном по адресу: 299804, г. Севастополь, пгт Кача, ул. Нестерова, 5.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Постановление вступает в силу с момента его подписания.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Контроль за исполнением настоящего распоряжения оставляю за собой.</w:t>
      </w:r>
    </w:p>
    <w:p>
      <w:pPr>
        <w:pStyle w:val="Normal"/>
        <w:spacing w:lineRule="auto" w:line="240" w:before="0" w:after="0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Ознакомлены: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 xml:space="preserve"> </w:t>
      </w:r>
      <w:r>
        <w:rPr>
          <w:rFonts w:ascii="Book Antiqua" w:hAnsi="Book Antiqua"/>
          <w:sz w:val="24"/>
          <w:szCs w:val="24"/>
          <w:lang w:eastAsia="en-US"/>
        </w:rPr>
        <w:t>Н</w:t>
      </w:r>
      <w:r>
        <w:rPr>
          <w:rFonts w:ascii="Book Antiqua" w:hAnsi="Book Antiqua"/>
          <w:sz w:val="24"/>
          <w:szCs w:val="24"/>
          <w:lang w:eastAsia="en-US"/>
        </w:rPr>
        <w:t xml:space="preserve">ачальник 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>финансово-экономического отдела</w:t>
      </w:r>
      <w:r>
        <w:rPr>
          <w:rFonts w:ascii="Book Antiqua" w:hAnsi="Book Antiqua"/>
          <w:sz w:val="24"/>
          <w:szCs w:val="24"/>
          <w:lang w:eastAsia="en-US"/>
        </w:rPr>
        <w:t xml:space="preserve">                                                Т.С.</w:t>
      </w:r>
      <w:r>
        <w:rPr>
          <w:rFonts w:ascii="Book Antiqua" w:hAnsi="Book Antiqua"/>
          <w:sz w:val="24"/>
          <w:szCs w:val="24"/>
          <w:lang w:eastAsia="en-US"/>
        </w:rPr>
        <w:t xml:space="preserve"> Гладков</w:t>
      </w:r>
      <w:r>
        <w:rPr>
          <w:rFonts w:ascii="Book Antiqua" w:hAnsi="Book Antiqua"/>
          <w:sz w:val="24"/>
          <w:szCs w:val="24"/>
          <w:lang w:eastAsia="en-US"/>
        </w:rPr>
        <w:t>а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>Н</w:t>
      </w:r>
      <w:r>
        <w:rPr>
          <w:rFonts w:ascii="Book Antiqua" w:hAnsi="Book Antiqua"/>
          <w:sz w:val="24"/>
          <w:szCs w:val="24"/>
          <w:lang w:eastAsia="en-US"/>
        </w:rPr>
        <w:t xml:space="preserve">ачальник </w:t>
      </w:r>
      <w:r>
        <w:rPr>
          <w:rFonts w:ascii="Book Antiqua" w:hAnsi="Book Antiqua"/>
          <w:sz w:val="24"/>
          <w:szCs w:val="24"/>
          <w:lang w:eastAsia="en-US"/>
        </w:rPr>
        <w:t xml:space="preserve">отдела 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>исполнения отдельных государственных полномочий         Ю.Ю.Жуковская</w:t>
      </w:r>
    </w:p>
    <w:p>
      <w:pPr>
        <w:pStyle w:val="Normal"/>
        <w:spacing w:lineRule="auto" w:line="240" w:before="0" w:after="0"/>
        <w:ind w:firstLine="709"/>
        <w:jc w:val="both"/>
        <w:rPr>
          <w:lang w:eastAsia="en-US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en-US"/>
        </w:rPr>
        <w:t xml:space="preserve">            </w:t>
      </w:r>
      <w:r>
        <w:rPr>
          <w:rFonts w:ascii="Book Antiqua" w:hAnsi="Book Antiqua"/>
          <w:sz w:val="24"/>
          <w:szCs w:val="24"/>
          <w:lang w:eastAsia="en-US"/>
        </w:rPr>
        <w:t>Г</w:t>
      </w:r>
      <w:r>
        <w:rPr>
          <w:rFonts w:ascii="Book Antiqua" w:hAnsi="Book Antiqua"/>
          <w:sz w:val="24"/>
          <w:szCs w:val="24"/>
          <w:lang w:eastAsia="en-US"/>
        </w:rPr>
        <w:t>лавн</w:t>
      </w:r>
      <w:r>
        <w:rPr>
          <w:rFonts w:ascii="Book Antiqua" w:hAnsi="Book Antiqua"/>
          <w:sz w:val="24"/>
          <w:szCs w:val="24"/>
          <w:lang w:eastAsia="en-US"/>
        </w:rPr>
        <w:t>ый</w:t>
      </w:r>
      <w:r>
        <w:rPr>
          <w:rFonts w:ascii="Book Antiqua" w:hAnsi="Book Antiqua"/>
          <w:sz w:val="24"/>
          <w:szCs w:val="24"/>
          <w:lang w:eastAsia="en-US"/>
        </w:rPr>
        <w:t xml:space="preserve"> </w:t>
      </w:r>
      <w:r>
        <w:rPr>
          <w:rFonts w:ascii="Book Antiqua" w:hAnsi="Book Antiqua"/>
          <w:sz w:val="24"/>
          <w:szCs w:val="24"/>
          <w:lang w:eastAsia="en-US"/>
        </w:rPr>
        <w:t xml:space="preserve">бухгалтер                                                                              М.А.Бедовской </w:t>
      </w:r>
    </w:p>
    <w:p>
      <w:pPr>
        <w:pStyle w:val="Normal"/>
        <w:spacing w:lineRule="auto" w:line="240" w:before="0" w:after="0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W w:w="9889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5"/>
        <w:gridCol w:w="1558"/>
        <w:gridCol w:w="2836"/>
      </w:tblGrid>
      <w:tr>
        <w:trPr/>
        <w:tc>
          <w:tcPr>
            <w:tcW w:w="54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8"/>
                <w:szCs w:val="28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Default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5103" w:hanging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rPr>
          <w:rFonts w:ascii="Book Antiqua" w:hAnsi="Book Antiqua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851" w:header="709" w:top="766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fo1" w:customStyle="1">
    <w:name w:val="spfo1"/>
    <w:basedOn w:val="DefaultParagraphFont"/>
    <w:qFormat/>
    <w:rsid w:val="00952c55"/>
    <w:rPr/>
  </w:style>
  <w:style w:type="character" w:styleId="Style14" w:customStyle="1">
    <w:name w:val="Без интервала Знак"/>
    <w:link w:val="a4"/>
    <w:uiPriority w:val="1"/>
    <w:qFormat/>
    <w:locked/>
    <w:rsid w:val="00155377"/>
    <w:rPr>
      <w:rFonts w:ascii="Calibri" w:hAnsi="Calibri" w:cs="Calibri"/>
    </w:rPr>
  </w:style>
  <w:style w:type="character" w:styleId="Style15">
    <w:name w:val="Интернет-ссылка"/>
    <w:uiPriority w:val="99"/>
    <w:semiHidden/>
    <w:unhideWhenUsed/>
    <w:rsid w:val="00155377"/>
    <w:rPr>
      <w:color w:val="0000FF"/>
      <w:u w:val="single"/>
    </w:rPr>
  </w:style>
  <w:style w:type="character" w:styleId="Style16" w:customStyle="1">
    <w:name w:val="Текст выноски Знак"/>
    <w:link w:val="a6"/>
    <w:uiPriority w:val="99"/>
    <w:semiHidden/>
    <w:qFormat/>
    <w:rsid w:val="00155377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link w:val="a8"/>
    <w:uiPriority w:val="99"/>
    <w:qFormat/>
    <w:rsid w:val="00662409"/>
    <w:rPr/>
  </w:style>
  <w:style w:type="character" w:styleId="Style18" w:customStyle="1">
    <w:name w:val="Нижний колонтитул Знак"/>
    <w:basedOn w:val="DefaultParagraphFont"/>
    <w:link w:val="aa"/>
    <w:uiPriority w:val="99"/>
    <w:qFormat/>
    <w:rsid w:val="00662409"/>
    <w:rPr/>
  </w:style>
  <w:style w:type="character" w:styleId="Appleconvertedspace" w:customStyle="1">
    <w:name w:val="apple-converted-space"/>
    <w:qFormat/>
    <w:rsid w:val="000b24c1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155377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553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ab5590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6624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b"/>
    <w:uiPriority w:val="99"/>
    <w:unhideWhenUsed/>
    <w:rsid w:val="006624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b24c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278d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070d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5">
    <w:name w:val="Основной текст (5)"/>
    <w:basedOn w:val="Normal"/>
    <w:qFormat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6BAE-885C-42E6-AFCA-D7163875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67</TotalTime>
  <Application>LibreOffice/7.1.1.2$Windows_X86_64 LibreOffice_project/fe0b08f4af1bacafe4c7ecc87ce55bb426164676</Application>
  <AppVersion>15.0000</AppVersion>
  <Pages>2</Pages>
  <Words>414</Words>
  <Characters>3331</Characters>
  <CharactersWithSpaces>3910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2015-09-28T12:10:00Z</dcterms:created>
  <dc:creator>Бухгалтер</dc:creator>
  <dc:description/>
  <dc:language>ru-RU</dc:language>
  <cp:lastModifiedBy/>
  <cp:lastPrinted>2022-03-02T14:13:51Z</cp:lastPrinted>
  <dcterms:modified xsi:type="dcterms:W3CDTF">2022-03-02T14:21:15Z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