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25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19 февраля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оказание услуг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 ремонту офисной техники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(ремонт МФУ </w:t>
            </w:r>
            <w:r>
              <w:rPr>
                <w:rFonts w:eastAsia="Times New Roman" w:cs="Arial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ar-SA"/>
              </w:rPr>
              <w:t>Canon  MF 244dw)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со служебной запиской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главного специалиста общего отдела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Набиева Т.С.о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4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13.01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(с изменениями)</w:t>
      </w:r>
      <w:bookmarkStart w:id="1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  <w:bookmarkEnd w:id="1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2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2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3" w:name="__DdeLink__521_3337059480"/>
      <w:bookmarkStart w:id="4" w:name="__DdeLink__121_3358645589"/>
      <w:bookmarkStart w:id="5" w:name="__DdeLink__94_23892309621"/>
      <w:bookmarkEnd w:id="4"/>
      <w:bookmarkEnd w:id="5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оказание услуг по ремонту офисной техники (ремонт МФУ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Canon  MF 244dw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6" w:name="__DdeLink__604_865633453"/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инвентар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ный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 xml:space="preserve"> номер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ru-RU" w:bidi="ar-SA"/>
        </w:rPr>
        <w:t>1013400069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).</w:t>
      </w:r>
      <w:bookmarkEnd w:id="3"/>
      <w:bookmarkEnd w:id="6"/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7050,00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Семь тысяч пятьдесят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оказание услуг по ремонту офисной техники (ремонт МФУ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 xml:space="preserve">Canon  MF 244dw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 xml:space="preserve">инвентаризационный номер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ru-RU" w:bidi="ar-SA"/>
        </w:rPr>
        <w:t>1013400069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7" w:name="__DdeLink__3939_4215976851111"/>
      <w:bookmarkStart w:id="8" w:name="__DdeLink__3939_4215976851111"/>
      <w:bookmarkEnd w:id="8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3"/>
        <w:gridCol w:w="1230"/>
        <w:gridCol w:w="2720"/>
      </w:tblGrid>
      <w:tr>
        <w:trPr/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Application>LibreOffice/6.3.1.2$Windows_x86 LibreOffice_project/b79626edf0065ac373bd1df5c28bd630b4424273</Application>
  <Pages>2</Pages>
  <Words>364</Words>
  <Characters>2947</Characters>
  <CharactersWithSpaces>3328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2020-05-07T17:00:23Z</cp:lastPrinted>
  <dcterms:modified xsi:type="dcterms:W3CDTF">2020-05-07T17:00:59Z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