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98-МА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9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30 июля 2020 года</w:t>
            </w:r>
          </w:p>
        </w:tc>
        <w:tc>
          <w:tcPr>
            <w:tcW w:w="5089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200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оказание экспертных услуг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отдела ИОГП местной администрации Жуковской Ю.Ю. № 84 от 30.07.2020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муниципальный контракт на оказание экспертных </w:t>
      </w:r>
      <w:r>
        <w:rPr>
          <w:rFonts w:eastAsia="Arial Unicode MS" w:cs="Arial Unicode MS" w:ascii="Book Antiqua" w:hAnsi="Book Antiqua"/>
          <w:color w:val="000000"/>
          <w:kern w:val="0"/>
          <w:shd w:fill="auto" w:val="clear"/>
          <w:lang w:val="ru-RU" w:eastAsia="ru-RU" w:bidi="ru-RU"/>
        </w:rPr>
        <w:t xml:space="preserve">услуг (проведение экспертизы выполненных работ по обустройству площадок для установки контейнеров для сбора твердых коммунальных отходов).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 xml:space="preserve">21 600,00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(двадцать одна тысяча шестьсот рублей, 00 копеек).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муниципальному контракту на оказание экспертных услуг. 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. Обнародовать настоящее постановление на официальном сайте </w:t>
      </w:r>
      <w:bookmarkStart w:id="0" w:name="_GoBack"/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внутригородского муниципального образования города Севастополя Качинский муниципал</w:t>
      </w:r>
      <w:bookmarkEnd w:id="0"/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ьный округ.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lang w:val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56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13f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9061e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9061e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E053-06F7-4E33-8D2B-EA07302B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LibreOffice/7.0.0.3$Windows_x86 LibreOffice_project/8061b3e9204bef6b321a21033174034a5e2ea88e</Application>
  <Pages>2</Pages>
  <Words>346</Words>
  <Characters>2801</Characters>
  <CharactersWithSpaces>3233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2020-10-06T16:09:44Z</cp:lastPrinted>
  <dcterms:modified xsi:type="dcterms:W3CDTF">2020-10-06T16:10:57Z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